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39F0" w14:textId="77777777" w:rsidR="00E818BE" w:rsidRPr="00E818BE" w:rsidRDefault="00E818BE" w:rsidP="00E818BE">
      <w:pPr>
        <w:pStyle w:val="NoSpacing"/>
        <w:ind w:left="0" w:right="0"/>
        <w:rPr>
          <w:rFonts w:ascii="Tahoma" w:hAnsi="Tahoma" w:cs="Tahoma"/>
          <w:b/>
          <w:color w:val="002060"/>
          <w:sz w:val="32"/>
          <w:szCs w:val="38"/>
        </w:rPr>
      </w:pPr>
      <w:r w:rsidRPr="00E818BE">
        <w:rPr>
          <w:rFonts w:ascii="Tahoma" w:hAnsi="Tahoma" w:cs="Tahoma"/>
          <w:b/>
          <w:color w:val="002060"/>
          <w:sz w:val="32"/>
          <w:szCs w:val="38"/>
        </w:rPr>
        <w:t>Government Investment Officers Association</w:t>
      </w:r>
    </w:p>
    <w:p w14:paraId="25D5B336" w14:textId="77777777" w:rsidR="00E818BE" w:rsidRDefault="00E818BE" w:rsidP="00E818BE">
      <w:pPr>
        <w:pStyle w:val="NoSpacing"/>
        <w:ind w:left="0" w:right="0"/>
        <w:rPr>
          <w:rFonts w:ascii="Tahoma" w:hAnsi="Tahoma" w:cs="Tahoma"/>
          <w:b/>
          <w:color w:val="002060"/>
          <w:sz w:val="32"/>
          <w:szCs w:val="38"/>
        </w:rPr>
      </w:pPr>
      <w:r w:rsidRPr="00E818BE">
        <w:rPr>
          <w:rFonts w:ascii="Tahoma" w:hAnsi="Tahoma" w:cs="Tahoma"/>
          <w:b/>
          <w:color w:val="002060"/>
          <w:sz w:val="32"/>
          <w:szCs w:val="38"/>
        </w:rPr>
        <w:t>Investment Policy Certification Program and Application</w:t>
      </w:r>
    </w:p>
    <w:p w14:paraId="1248DE62" w14:textId="77777777" w:rsidR="000E55A3" w:rsidRDefault="000E55A3" w:rsidP="00E818BE">
      <w:pPr>
        <w:pStyle w:val="NoSpacing"/>
        <w:ind w:left="0" w:right="0"/>
        <w:rPr>
          <w:rFonts w:ascii="Tahoma" w:hAnsi="Tahoma" w:cs="Tahoma"/>
          <w:b/>
          <w:color w:val="002060"/>
          <w:sz w:val="32"/>
          <w:szCs w:val="38"/>
        </w:rPr>
      </w:pPr>
    </w:p>
    <w:p w14:paraId="10881F2F" w14:textId="77777777" w:rsidR="00E148E0" w:rsidRPr="00E148E0" w:rsidRDefault="00E148E0" w:rsidP="00E818BE">
      <w:pPr>
        <w:pStyle w:val="NoSpacing"/>
        <w:ind w:left="0" w:right="0"/>
        <w:rPr>
          <w:rFonts w:ascii="Tahoma" w:hAnsi="Tahoma" w:cs="Tahoma"/>
          <w:b/>
          <w:color w:val="002060"/>
          <w:sz w:val="10"/>
          <w:szCs w:val="10"/>
        </w:rPr>
      </w:pPr>
    </w:p>
    <w:p w14:paraId="51210FC9" w14:textId="77777777" w:rsidR="000E55A3" w:rsidRPr="007F3A95" w:rsidRDefault="000E55A3" w:rsidP="00E818BE">
      <w:pPr>
        <w:pStyle w:val="NoSpacing"/>
        <w:ind w:left="0" w:right="0"/>
        <w:rPr>
          <w:rFonts w:ascii="Tahoma" w:hAnsi="Tahoma" w:cs="Tahoma"/>
          <w:color w:val="000000" w:themeColor="text1"/>
          <w:sz w:val="22"/>
          <w:szCs w:val="38"/>
        </w:rPr>
      </w:pPr>
      <w:r w:rsidRPr="007F3A95">
        <w:rPr>
          <w:rFonts w:ascii="Tahoma" w:hAnsi="Tahoma" w:cs="Tahoma"/>
          <w:color w:val="000000" w:themeColor="text1"/>
          <w:sz w:val="22"/>
          <w:szCs w:val="38"/>
        </w:rPr>
        <w:t>Thank you for your interest in GIOA’s Investment Policy Certification Program.</w:t>
      </w:r>
    </w:p>
    <w:p w14:paraId="7C677752" w14:textId="77777777" w:rsidR="000E55A3" w:rsidRPr="007F3A95" w:rsidRDefault="000E55A3" w:rsidP="007E014A">
      <w:pPr>
        <w:pStyle w:val="NoSpacing"/>
        <w:ind w:left="0" w:right="0"/>
        <w:jc w:val="both"/>
        <w:rPr>
          <w:rFonts w:ascii="Tahoma" w:hAnsi="Tahoma" w:cs="Tahoma"/>
          <w:color w:val="000000" w:themeColor="text1"/>
          <w:sz w:val="22"/>
          <w:szCs w:val="38"/>
        </w:rPr>
      </w:pPr>
    </w:p>
    <w:p w14:paraId="285974CF" w14:textId="77777777" w:rsidR="00BF74A7" w:rsidRPr="007F3A95" w:rsidRDefault="000E55A3" w:rsidP="007E014A">
      <w:pPr>
        <w:pStyle w:val="NoSpacing"/>
        <w:ind w:left="0" w:right="0"/>
        <w:jc w:val="both"/>
        <w:rPr>
          <w:rFonts w:ascii="Tahoma" w:hAnsi="Tahoma" w:cs="Tahoma"/>
          <w:color w:val="000000" w:themeColor="text1"/>
          <w:sz w:val="22"/>
          <w:szCs w:val="38"/>
        </w:rPr>
      </w:pPr>
      <w:r w:rsidRPr="007F3A95">
        <w:rPr>
          <w:rFonts w:ascii="Tahoma" w:hAnsi="Tahoma" w:cs="Tahoma"/>
          <w:color w:val="000000" w:themeColor="text1"/>
          <w:sz w:val="22"/>
          <w:szCs w:val="38"/>
        </w:rPr>
        <w:t xml:space="preserve">This program will provide your entity with professional assistance and guidance to develop an investment policy </w:t>
      </w:r>
      <w:r w:rsidR="00541BA0">
        <w:rPr>
          <w:rFonts w:ascii="Tahoma" w:hAnsi="Tahoma" w:cs="Tahoma"/>
          <w:color w:val="000000" w:themeColor="text1"/>
          <w:sz w:val="22"/>
          <w:szCs w:val="38"/>
        </w:rPr>
        <w:t>that meets</w:t>
      </w:r>
      <w:r w:rsidRPr="007F3A95">
        <w:rPr>
          <w:rFonts w:ascii="Tahoma" w:hAnsi="Tahoma" w:cs="Tahoma"/>
          <w:color w:val="000000" w:themeColor="text1"/>
          <w:sz w:val="22"/>
          <w:szCs w:val="38"/>
        </w:rPr>
        <w:t xml:space="preserve"> industry best practices. Your entity’s submitted policy will be reviewed </w:t>
      </w:r>
      <w:r w:rsidR="00541BA0">
        <w:rPr>
          <w:rFonts w:ascii="Tahoma" w:hAnsi="Tahoma" w:cs="Tahoma"/>
          <w:color w:val="000000" w:themeColor="text1"/>
          <w:sz w:val="22"/>
          <w:szCs w:val="38"/>
        </w:rPr>
        <w:t xml:space="preserve">by </w:t>
      </w:r>
      <w:r w:rsidRPr="007F3A95">
        <w:rPr>
          <w:rFonts w:ascii="Tahoma" w:hAnsi="Tahoma" w:cs="Tahoma"/>
          <w:color w:val="000000" w:themeColor="text1"/>
          <w:sz w:val="22"/>
          <w:szCs w:val="38"/>
        </w:rPr>
        <w:t xml:space="preserve">three experienced GIOA members to </w:t>
      </w:r>
      <w:r w:rsidR="00541BA0">
        <w:rPr>
          <w:rFonts w:ascii="Tahoma" w:hAnsi="Tahoma" w:cs="Tahoma"/>
          <w:color w:val="000000" w:themeColor="text1"/>
          <w:sz w:val="22"/>
          <w:szCs w:val="38"/>
        </w:rPr>
        <w:t xml:space="preserve">determine </w:t>
      </w:r>
      <w:r w:rsidRPr="007F3A95">
        <w:rPr>
          <w:rFonts w:ascii="Tahoma" w:hAnsi="Tahoma" w:cs="Tahoma"/>
          <w:color w:val="000000" w:themeColor="text1"/>
          <w:sz w:val="22"/>
          <w:szCs w:val="38"/>
        </w:rPr>
        <w:t>if it meets the standards established by the GIOA Investment Policy Review Committee.</w:t>
      </w:r>
    </w:p>
    <w:p w14:paraId="0AE2F1F5" w14:textId="77777777" w:rsidR="00BF74A7" w:rsidRPr="007F3A95" w:rsidRDefault="00BF74A7" w:rsidP="007E014A">
      <w:pPr>
        <w:pStyle w:val="NoSpacing"/>
        <w:ind w:left="0" w:right="0"/>
        <w:jc w:val="both"/>
        <w:rPr>
          <w:rFonts w:ascii="Tahoma" w:hAnsi="Tahoma" w:cs="Tahoma"/>
          <w:color w:val="000000" w:themeColor="text1"/>
          <w:sz w:val="22"/>
          <w:szCs w:val="38"/>
        </w:rPr>
      </w:pPr>
    </w:p>
    <w:p w14:paraId="3F6905CB" w14:textId="77777777" w:rsidR="00BF74A7" w:rsidRPr="007F3A95" w:rsidRDefault="00BF74A7" w:rsidP="007E014A">
      <w:pPr>
        <w:pStyle w:val="NoSpacing"/>
        <w:ind w:left="0" w:right="0"/>
        <w:jc w:val="both"/>
        <w:rPr>
          <w:rFonts w:ascii="Tahoma" w:hAnsi="Tahoma" w:cs="Tahoma"/>
          <w:b/>
          <w:color w:val="000000" w:themeColor="text1"/>
          <w:sz w:val="22"/>
          <w:szCs w:val="38"/>
        </w:rPr>
      </w:pPr>
      <w:r w:rsidRPr="007F3A95">
        <w:rPr>
          <w:rFonts w:ascii="Tahoma" w:hAnsi="Tahoma" w:cs="Tahoma"/>
          <w:b/>
          <w:color w:val="000000" w:themeColor="text1"/>
          <w:sz w:val="22"/>
          <w:szCs w:val="38"/>
        </w:rPr>
        <w:t>Procedures:</w:t>
      </w:r>
    </w:p>
    <w:p w14:paraId="3B1002A8" w14:textId="77777777" w:rsidR="00BF74A7" w:rsidRPr="007F3A95" w:rsidRDefault="00BF74A7" w:rsidP="007E014A">
      <w:pPr>
        <w:pStyle w:val="NoSpacing"/>
        <w:ind w:left="0" w:right="0"/>
        <w:jc w:val="both"/>
        <w:rPr>
          <w:rFonts w:ascii="Tahoma" w:hAnsi="Tahoma" w:cs="Tahoma"/>
          <w:color w:val="000000" w:themeColor="text1"/>
          <w:sz w:val="22"/>
          <w:szCs w:val="38"/>
        </w:rPr>
      </w:pPr>
    </w:p>
    <w:p w14:paraId="7042AC90" w14:textId="2C52F0AA" w:rsidR="00BF74A7" w:rsidRPr="00541A80" w:rsidRDefault="00BF74A7" w:rsidP="001D12F9">
      <w:pPr>
        <w:pStyle w:val="NoSpacing"/>
        <w:numPr>
          <w:ilvl w:val="0"/>
          <w:numId w:val="1"/>
        </w:numPr>
        <w:ind w:right="0"/>
        <w:jc w:val="both"/>
        <w:rPr>
          <w:rFonts w:ascii="Tahoma" w:hAnsi="Tahoma" w:cs="Tahoma"/>
          <w:color w:val="000000" w:themeColor="text1"/>
          <w:sz w:val="22"/>
          <w:szCs w:val="38"/>
        </w:rPr>
      </w:pPr>
      <w:r w:rsidRPr="007F3A95">
        <w:rPr>
          <w:rFonts w:ascii="Tahoma" w:hAnsi="Tahoma" w:cs="Tahoma"/>
          <w:color w:val="000000" w:themeColor="text1"/>
          <w:sz w:val="22"/>
          <w:szCs w:val="38"/>
        </w:rPr>
        <w:t>Email a copy of a completed GIOA Investment Policy Certification Form and your entity’s full investment policy</w:t>
      </w:r>
      <w:r w:rsidR="00541A80">
        <w:rPr>
          <w:rFonts w:ascii="Tahoma" w:hAnsi="Tahoma" w:cs="Tahoma"/>
          <w:color w:val="000000" w:themeColor="text1"/>
          <w:sz w:val="22"/>
          <w:szCs w:val="38"/>
        </w:rPr>
        <w:t xml:space="preserve"> (in PDF format)</w:t>
      </w:r>
      <w:r w:rsidRPr="007F3A95">
        <w:rPr>
          <w:rFonts w:ascii="Tahoma" w:hAnsi="Tahoma" w:cs="Tahoma"/>
          <w:color w:val="000000" w:themeColor="text1"/>
          <w:sz w:val="22"/>
          <w:szCs w:val="38"/>
        </w:rPr>
        <w:t xml:space="preserve"> to </w:t>
      </w:r>
      <w:r w:rsidR="00B42CB2" w:rsidRPr="00541A80">
        <w:rPr>
          <w:rFonts w:ascii="Tahoma" w:hAnsi="Tahoma" w:cs="Tahoma"/>
          <w:color w:val="000000" w:themeColor="text1"/>
          <w:sz w:val="22"/>
          <w:szCs w:val="38"/>
        </w:rPr>
        <w:t>r</w:t>
      </w:r>
      <w:r w:rsidR="009E2C15">
        <w:rPr>
          <w:rFonts w:ascii="Tahoma" w:hAnsi="Tahoma" w:cs="Tahoma"/>
          <w:color w:val="000000" w:themeColor="text1"/>
          <w:sz w:val="22"/>
          <w:szCs w:val="38"/>
        </w:rPr>
        <w:t>phillips@meederinvestment.com</w:t>
      </w:r>
      <w:r w:rsidR="00B42CB2" w:rsidRPr="00541A80">
        <w:rPr>
          <w:rFonts w:ascii="Tahoma" w:hAnsi="Tahoma" w:cs="Tahoma"/>
          <w:color w:val="000000" w:themeColor="text1"/>
          <w:sz w:val="22"/>
          <w:szCs w:val="38"/>
        </w:rPr>
        <w:t>.</w:t>
      </w:r>
      <w:r w:rsidR="000E1CDF" w:rsidRPr="00541A80">
        <w:rPr>
          <w:rFonts w:ascii="Tahoma" w:hAnsi="Tahoma" w:cs="Tahoma"/>
          <w:color w:val="000000" w:themeColor="text1"/>
          <w:sz w:val="22"/>
          <w:szCs w:val="38"/>
        </w:rPr>
        <w:t xml:space="preserve"> </w:t>
      </w:r>
    </w:p>
    <w:p w14:paraId="48E2FFBB" w14:textId="77777777" w:rsidR="000E1CDF" w:rsidRPr="007F3A95" w:rsidRDefault="000E1CDF" w:rsidP="000E1CDF">
      <w:pPr>
        <w:pStyle w:val="NoSpacing"/>
        <w:ind w:right="0"/>
        <w:jc w:val="both"/>
        <w:rPr>
          <w:rFonts w:ascii="Tahoma" w:hAnsi="Tahoma" w:cs="Tahoma"/>
          <w:color w:val="000000" w:themeColor="text1"/>
          <w:sz w:val="22"/>
          <w:szCs w:val="38"/>
        </w:rPr>
      </w:pPr>
    </w:p>
    <w:p w14:paraId="477986AB" w14:textId="0AEBFF53" w:rsidR="000E1CDF" w:rsidRPr="007F3A95" w:rsidRDefault="000E1CDF" w:rsidP="00231EDC">
      <w:pPr>
        <w:pStyle w:val="NoSpacing"/>
        <w:numPr>
          <w:ilvl w:val="0"/>
          <w:numId w:val="1"/>
        </w:numPr>
        <w:ind w:right="0"/>
        <w:jc w:val="both"/>
        <w:rPr>
          <w:rFonts w:ascii="Tahoma" w:hAnsi="Tahoma" w:cs="Tahoma"/>
          <w:color w:val="000000" w:themeColor="text1"/>
          <w:sz w:val="22"/>
          <w:szCs w:val="38"/>
        </w:rPr>
      </w:pPr>
      <w:r w:rsidRPr="007F3A95">
        <w:rPr>
          <w:rFonts w:ascii="Tahoma" w:hAnsi="Tahoma" w:cs="Tahoma"/>
          <w:color w:val="000000" w:themeColor="text1"/>
          <w:sz w:val="22"/>
          <w:szCs w:val="38"/>
        </w:rPr>
        <w:t>Send payment of $150 to GIOA Investment Policy Certification, 10655 Park Run Drive #120,  Las Vegas, Nevada 89144</w:t>
      </w:r>
      <w:r w:rsidR="008E3F41">
        <w:rPr>
          <w:rFonts w:ascii="Tahoma" w:hAnsi="Tahoma" w:cs="Tahoma"/>
          <w:color w:val="000000" w:themeColor="text1"/>
          <w:sz w:val="22"/>
          <w:szCs w:val="38"/>
        </w:rPr>
        <w:t xml:space="preserve"> (check</w:t>
      </w:r>
      <w:r w:rsidR="003F0D1A">
        <w:rPr>
          <w:rFonts w:ascii="Tahoma" w:hAnsi="Tahoma" w:cs="Tahoma"/>
          <w:color w:val="000000" w:themeColor="text1"/>
          <w:sz w:val="22"/>
          <w:szCs w:val="38"/>
        </w:rPr>
        <w:t>-payable to “GIOA”)</w:t>
      </w:r>
      <w:r w:rsidR="00DE4046">
        <w:rPr>
          <w:rFonts w:ascii="Tahoma" w:hAnsi="Tahoma" w:cs="Tahoma"/>
          <w:color w:val="000000" w:themeColor="text1"/>
          <w:sz w:val="22"/>
          <w:szCs w:val="38"/>
        </w:rPr>
        <w:t>;</w:t>
      </w:r>
      <w:r w:rsidR="00E148E0">
        <w:rPr>
          <w:rFonts w:ascii="Tahoma" w:hAnsi="Tahoma" w:cs="Tahoma"/>
          <w:color w:val="000000" w:themeColor="text1"/>
          <w:sz w:val="22"/>
          <w:szCs w:val="38"/>
        </w:rPr>
        <w:t xml:space="preserve"> credit card payment available online</w:t>
      </w:r>
      <w:r w:rsidR="00231EDC">
        <w:rPr>
          <w:rFonts w:ascii="Tahoma" w:hAnsi="Tahoma" w:cs="Tahoma"/>
          <w:color w:val="000000" w:themeColor="text1"/>
          <w:sz w:val="22"/>
          <w:szCs w:val="38"/>
        </w:rPr>
        <w:t>).</w:t>
      </w:r>
    </w:p>
    <w:p w14:paraId="1C3030E1" w14:textId="77777777" w:rsidR="00BF74A7" w:rsidRPr="007F3A95" w:rsidRDefault="00BF74A7" w:rsidP="007E014A">
      <w:pPr>
        <w:pStyle w:val="NoSpacing"/>
        <w:ind w:left="0" w:right="0"/>
        <w:jc w:val="both"/>
        <w:rPr>
          <w:rFonts w:ascii="Tahoma" w:hAnsi="Tahoma" w:cs="Tahoma"/>
          <w:color w:val="000000" w:themeColor="text1"/>
          <w:sz w:val="22"/>
          <w:szCs w:val="38"/>
        </w:rPr>
      </w:pPr>
    </w:p>
    <w:p w14:paraId="7FCFEAA5" w14:textId="77777777" w:rsidR="00BF74A7" w:rsidRPr="007F3A95" w:rsidRDefault="00BF74A7" w:rsidP="001D12F9">
      <w:pPr>
        <w:pStyle w:val="NoSpacing"/>
        <w:numPr>
          <w:ilvl w:val="0"/>
          <w:numId w:val="1"/>
        </w:numPr>
        <w:ind w:right="0"/>
        <w:jc w:val="both"/>
        <w:rPr>
          <w:rFonts w:ascii="Tahoma" w:hAnsi="Tahoma" w:cs="Tahoma"/>
          <w:color w:val="000000" w:themeColor="text1"/>
          <w:sz w:val="22"/>
          <w:szCs w:val="38"/>
        </w:rPr>
      </w:pPr>
      <w:r w:rsidRPr="007F3A95">
        <w:rPr>
          <w:rFonts w:ascii="Tahoma" w:hAnsi="Tahoma" w:cs="Tahoma"/>
          <w:color w:val="000000" w:themeColor="text1"/>
          <w:sz w:val="22"/>
          <w:szCs w:val="38"/>
        </w:rPr>
        <w:t>The submitted information will be forward to three GIOA Investment Policy Committee members to review and provide recommended changes</w:t>
      </w:r>
      <w:r w:rsidR="00541BA0">
        <w:rPr>
          <w:rFonts w:ascii="Tahoma" w:hAnsi="Tahoma" w:cs="Tahoma"/>
          <w:color w:val="000000" w:themeColor="text1"/>
          <w:sz w:val="22"/>
          <w:szCs w:val="38"/>
        </w:rPr>
        <w:t xml:space="preserve"> and feedback.</w:t>
      </w:r>
    </w:p>
    <w:p w14:paraId="6669C402" w14:textId="77777777" w:rsidR="00BF74A7" w:rsidRPr="007F3A95" w:rsidRDefault="00BF74A7" w:rsidP="007E014A">
      <w:pPr>
        <w:pStyle w:val="NoSpacing"/>
        <w:ind w:left="0" w:right="0"/>
        <w:jc w:val="both"/>
        <w:rPr>
          <w:rFonts w:ascii="Tahoma" w:hAnsi="Tahoma" w:cs="Tahoma"/>
          <w:color w:val="000000" w:themeColor="text1"/>
          <w:sz w:val="22"/>
          <w:szCs w:val="38"/>
        </w:rPr>
      </w:pPr>
    </w:p>
    <w:p w14:paraId="02917B8A" w14:textId="77777777" w:rsidR="00BF74A7" w:rsidRPr="007F3A95" w:rsidRDefault="00BF74A7" w:rsidP="001D12F9">
      <w:pPr>
        <w:pStyle w:val="NoSpacing"/>
        <w:numPr>
          <w:ilvl w:val="0"/>
          <w:numId w:val="1"/>
        </w:numPr>
        <w:ind w:right="0"/>
        <w:jc w:val="both"/>
        <w:rPr>
          <w:rFonts w:ascii="Tahoma" w:hAnsi="Tahoma" w:cs="Tahoma"/>
          <w:color w:val="000000" w:themeColor="text1"/>
          <w:sz w:val="22"/>
          <w:szCs w:val="38"/>
        </w:rPr>
      </w:pPr>
      <w:r w:rsidRPr="007F3A95">
        <w:rPr>
          <w:rFonts w:ascii="Tahoma" w:hAnsi="Tahoma" w:cs="Tahoma"/>
          <w:color w:val="000000" w:themeColor="text1"/>
          <w:sz w:val="22"/>
          <w:szCs w:val="38"/>
        </w:rPr>
        <w:t>For the investment policy to receive certification, at least two of the three reviewers m</w:t>
      </w:r>
      <w:r w:rsidR="00541BA0">
        <w:rPr>
          <w:rFonts w:ascii="Tahoma" w:hAnsi="Tahoma" w:cs="Tahoma"/>
          <w:color w:val="000000" w:themeColor="text1"/>
          <w:sz w:val="22"/>
          <w:szCs w:val="38"/>
        </w:rPr>
        <w:t>u</w:t>
      </w:r>
      <w:r w:rsidRPr="007F3A95">
        <w:rPr>
          <w:rFonts w:ascii="Tahoma" w:hAnsi="Tahoma" w:cs="Tahoma"/>
          <w:color w:val="000000" w:themeColor="text1"/>
          <w:sz w:val="22"/>
          <w:szCs w:val="38"/>
        </w:rPr>
        <w:t>st provide a passing score</w:t>
      </w:r>
      <w:r w:rsidR="007A7CBB">
        <w:rPr>
          <w:rFonts w:ascii="Tahoma" w:hAnsi="Tahoma" w:cs="Tahoma"/>
          <w:color w:val="000000" w:themeColor="text1"/>
          <w:sz w:val="22"/>
          <w:szCs w:val="38"/>
        </w:rPr>
        <w:t xml:space="preserve"> (at least 85 points out of a possible 100 points)</w:t>
      </w:r>
      <w:r w:rsidRPr="007F3A95">
        <w:rPr>
          <w:rFonts w:ascii="Tahoma" w:hAnsi="Tahoma" w:cs="Tahoma"/>
          <w:color w:val="000000" w:themeColor="text1"/>
          <w:sz w:val="22"/>
          <w:szCs w:val="38"/>
        </w:rPr>
        <w:t xml:space="preserve">.  </w:t>
      </w:r>
    </w:p>
    <w:p w14:paraId="223D0572" w14:textId="77777777" w:rsidR="00BF74A7" w:rsidRPr="007F3A95" w:rsidRDefault="00BF74A7" w:rsidP="007E014A">
      <w:pPr>
        <w:pStyle w:val="NoSpacing"/>
        <w:ind w:left="0" w:right="0"/>
        <w:jc w:val="both"/>
        <w:rPr>
          <w:rFonts w:ascii="Tahoma" w:hAnsi="Tahoma" w:cs="Tahoma"/>
          <w:color w:val="000000" w:themeColor="text1"/>
          <w:sz w:val="22"/>
          <w:szCs w:val="38"/>
        </w:rPr>
      </w:pPr>
    </w:p>
    <w:p w14:paraId="1A06B59E" w14:textId="77777777" w:rsidR="001D12F9" w:rsidRPr="007F3A95" w:rsidRDefault="00BF74A7" w:rsidP="001D12F9">
      <w:pPr>
        <w:pStyle w:val="NoSpacing"/>
        <w:numPr>
          <w:ilvl w:val="0"/>
          <w:numId w:val="1"/>
        </w:numPr>
        <w:ind w:right="0"/>
        <w:jc w:val="both"/>
        <w:rPr>
          <w:rFonts w:ascii="Tahoma" w:hAnsi="Tahoma" w:cs="Tahoma"/>
          <w:color w:val="000000" w:themeColor="text1"/>
          <w:sz w:val="22"/>
          <w:szCs w:val="38"/>
        </w:rPr>
      </w:pPr>
      <w:r w:rsidRPr="007F3A95">
        <w:rPr>
          <w:rFonts w:ascii="Tahoma" w:hAnsi="Tahoma" w:cs="Tahoma"/>
          <w:color w:val="000000" w:themeColor="text1"/>
          <w:sz w:val="22"/>
          <w:szCs w:val="38"/>
        </w:rPr>
        <w:t xml:space="preserve">Within six weeks after the application and policy are received, the applicant will receive notification of approval or non-approval, and recommendations from the reviewers.  If the investment policy is not approved for certification, the applicant may resubmit </w:t>
      </w:r>
      <w:r w:rsidR="001D12F9" w:rsidRPr="007F3A95">
        <w:rPr>
          <w:rFonts w:ascii="Tahoma" w:hAnsi="Tahoma" w:cs="Tahoma"/>
          <w:color w:val="000000" w:themeColor="text1"/>
          <w:sz w:val="22"/>
          <w:szCs w:val="38"/>
        </w:rPr>
        <w:t>at no charge</w:t>
      </w:r>
      <w:r w:rsidR="00541BA0">
        <w:rPr>
          <w:rFonts w:ascii="Tahoma" w:hAnsi="Tahoma" w:cs="Tahoma"/>
          <w:color w:val="000000" w:themeColor="text1"/>
          <w:sz w:val="22"/>
          <w:szCs w:val="38"/>
        </w:rPr>
        <w:t xml:space="preserve"> if re-submitted within 90 days.</w:t>
      </w:r>
    </w:p>
    <w:p w14:paraId="0E7238A8" w14:textId="77777777" w:rsidR="001D12F9" w:rsidRPr="007F3A95" w:rsidRDefault="001D12F9" w:rsidP="007E014A">
      <w:pPr>
        <w:pStyle w:val="NoSpacing"/>
        <w:ind w:left="0" w:right="0"/>
        <w:jc w:val="both"/>
        <w:rPr>
          <w:rFonts w:ascii="Tahoma" w:hAnsi="Tahoma" w:cs="Tahoma"/>
          <w:color w:val="000000" w:themeColor="text1"/>
          <w:sz w:val="22"/>
          <w:szCs w:val="38"/>
        </w:rPr>
      </w:pPr>
    </w:p>
    <w:p w14:paraId="4EF438BB" w14:textId="77777777" w:rsidR="000E55A3" w:rsidRPr="007F3A95" w:rsidRDefault="001D12F9" w:rsidP="001D12F9">
      <w:pPr>
        <w:pStyle w:val="NoSpacing"/>
        <w:numPr>
          <w:ilvl w:val="0"/>
          <w:numId w:val="1"/>
        </w:numPr>
        <w:ind w:right="0"/>
        <w:jc w:val="both"/>
        <w:rPr>
          <w:rFonts w:ascii="Tahoma" w:hAnsi="Tahoma" w:cs="Tahoma"/>
          <w:color w:val="000000" w:themeColor="text1"/>
          <w:sz w:val="22"/>
          <w:szCs w:val="38"/>
        </w:rPr>
      </w:pPr>
      <w:r w:rsidRPr="007F3A95">
        <w:rPr>
          <w:rFonts w:ascii="Tahoma" w:hAnsi="Tahoma" w:cs="Tahoma"/>
          <w:color w:val="000000" w:themeColor="text1"/>
          <w:sz w:val="22"/>
          <w:szCs w:val="38"/>
        </w:rPr>
        <w:t>If approved, the applicant will receive a GIOA Investment Policy Ce</w:t>
      </w:r>
      <w:r w:rsidR="00541BA0">
        <w:rPr>
          <w:rFonts w:ascii="Tahoma" w:hAnsi="Tahoma" w:cs="Tahoma"/>
          <w:color w:val="000000" w:themeColor="text1"/>
          <w:sz w:val="22"/>
          <w:szCs w:val="38"/>
        </w:rPr>
        <w:t>rtification Certificate and</w:t>
      </w:r>
      <w:r w:rsidRPr="007F3A95">
        <w:rPr>
          <w:rFonts w:ascii="Tahoma" w:hAnsi="Tahoma" w:cs="Tahoma"/>
          <w:color w:val="000000" w:themeColor="text1"/>
          <w:sz w:val="22"/>
          <w:szCs w:val="38"/>
        </w:rPr>
        <w:t xml:space="preserve"> be recognized at the next GIOA Annual Conference.   </w:t>
      </w:r>
      <w:r w:rsidR="00BF74A7" w:rsidRPr="007F3A95">
        <w:rPr>
          <w:rFonts w:ascii="Tahoma" w:hAnsi="Tahoma" w:cs="Tahoma"/>
          <w:color w:val="000000" w:themeColor="text1"/>
          <w:sz w:val="22"/>
          <w:szCs w:val="38"/>
        </w:rPr>
        <w:t xml:space="preserve">   </w:t>
      </w:r>
      <w:r w:rsidR="000E55A3" w:rsidRPr="007F3A95">
        <w:rPr>
          <w:rFonts w:ascii="Tahoma" w:hAnsi="Tahoma" w:cs="Tahoma"/>
          <w:color w:val="000000" w:themeColor="text1"/>
          <w:sz w:val="22"/>
          <w:szCs w:val="38"/>
        </w:rPr>
        <w:t xml:space="preserve">    </w:t>
      </w:r>
    </w:p>
    <w:p w14:paraId="0A314484" w14:textId="77777777" w:rsidR="00231EDC" w:rsidRPr="007F3A95" w:rsidRDefault="00231EDC" w:rsidP="007E014A">
      <w:pPr>
        <w:jc w:val="both"/>
        <w:rPr>
          <w:rFonts w:ascii="Tahoma" w:hAnsi="Tahoma" w:cs="Tahoma"/>
          <w:color w:val="000000" w:themeColor="text1"/>
          <w:kern w:val="20"/>
          <w:szCs w:val="38"/>
          <w:lang w:eastAsia="ja-JP"/>
        </w:rPr>
      </w:pPr>
    </w:p>
    <w:p w14:paraId="1F1E229E" w14:textId="77777777" w:rsidR="007E014A" w:rsidRPr="007F3A95" w:rsidRDefault="001D12F9" w:rsidP="007E014A">
      <w:pPr>
        <w:jc w:val="both"/>
        <w:rPr>
          <w:rFonts w:ascii="Tahoma" w:hAnsi="Tahoma" w:cs="Tahoma"/>
          <w:color w:val="000000" w:themeColor="text1"/>
          <w:kern w:val="20"/>
          <w:szCs w:val="38"/>
          <w:lang w:eastAsia="ja-JP"/>
        </w:rPr>
      </w:pPr>
      <w:r w:rsidRPr="007F3A95">
        <w:rPr>
          <w:rFonts w:ascii="Tahoma" w:hAnsi="Tahoma" w:cs="Tahoma"/>
          <w:color w:val="000000" w:themeColor="text1"/>
          <w:kern w:val="20"/>
          <w:szCs w:val="38"/>
          <w:lang w:eastAsia="ja-JP"/>
        </w:rPr>
        <w:t>Should you have any questions regarding the application process or the GIOA Model Investment Policy, please contact the Chair of the GIOA Investment Policy Certification.</w:t>
      </w:r>
    </w:p>
    <w:p w14:paraId="6222D6BF" w14:textId="77777777" w:rsidR="001D12F9" w:rsidRPr="007F3A95" w:rsidRDefault="001D12F9" w:rsidP="001D12F9">
      <w:pPr>
        <w:pStyle w:val="NoSpacing"/>
        <w:ind w:left="0"/>
        <w:rPr>
          <w:rFonts w:ascii="Tahoma" w:hAnsi="Tahoma" w:cs="Tahoma"/>
          <w:color w:val="000000" w:themeColor="text1"/>
          <w:sz w:val="22"/>
        </w:rPr>
      </w:pPr>
      <w:r w:rsidRPr="007F3A95">
        <w:rPr>
          <w:rFonts w:ascii="Tahoma" w:hAnsi="Tahoma" w:cs="Tahoma"/>
          <w:color w:val="000000" w:themeColor="text1"/>
          <w:sz w:val="22"/>
        </w:rPr>
        <w:t>Rick Phillips, Chair</w:t>
      </w:r>
    </w:p>
    <w:p w14:paraId="6D9544EF" w14:textId="77777777" w:rsidR="001D12F9" w:rsidRPr="007F3A95" w:rsidRDefault="001D12F9" w:rsidP="001D12F9">
      <w:pPr>
        <w:pStyle w:val="NoSpacing"/>
        <w:ind w:left="0"/>
        <w:rPr>
          <w:rFonts w:ascii="Tahoma" w:hAnsi="Tahoma" w:cs="Tahoma"/>
          <w:sz w:val="22"/>
        </w:rPr>
      </w:pPr>
      <w:r w:rsidRPr="007F3A95">
        <w:rPr>
          <w:rFonts w:ascii="Tahoma" w:hAnsi="Tahoma" w:cs="Tahoma"/>
          <w:color w:val="000000" w:themeColor="text1"/>
          <w:sz w:val="22"/>
        </w:rPr>
        <w:t>GIOA Investment Policy Certification Program</w:t>
      </w:r>
    </w:p>
    <w:p w14:paraId="12828614" w14:textId="69A75153" w:rsidR="001D12F9" w:rsidRPr="00541A80" w:rsidRDefault="00DE4046" w:rsidP="001D12F9">
      <w:pPr>
        <w:pStyle w:val="NoSpacing"/>
        <w:ind w:left="0"/>
        <w:rPr>
          <w:rFonts w:ascii="Tahoma" w:hAnsi="Tahoma" w:cs="Tahoma"/>
          <w:color w:val="000000" w:themeColor="text1"/>
          <w:sz w:val="22"/>
        </w:rPr>
      </w:pPr>
      <w:r w:rsidRPr="00541A80">
        <w:rPr>
          <w:rFonts w:ascii="Tahoma" w:hAnsi="Tahoma" w:cs="Tahoma"/>
          <w:color w:val="000000" w:themeColor="text1"/>
          <w:sz w:val="22"/>
        </w:rPr>
        <w:t>r</w:t>
      </w:r>
      <w:r w:rsidR="009E2C15">
        <w:rPr>
          <w:rFonts w:ascii="Tahoma" w:hAnsi="Tahoma" w:cs="Tahoma"/>
          <w:color w:val="000000" w:themeColor="text1"/>
          <w:sz w:val="22"/>
        </w:rPr>
        <w:t>phillips@meederinvestment.com</w:t>
      </w:r>
    </w:p>
    <w:p w14:paraId="345E6D7B" w14:textId="27CC7E04" w:rsidR="001D12F9" w:rsidRPr="00541A80" w:rsidRDefault="00B42CB2" w:rsidP="001D12F9">
      <w:pPr>
        <w:pStyle w:val="NoSpacing"/>
        <w:ind w:left="0"/>
        <w:rPr>
          <w:rFonts w:ascii="Tahoma" w:hAnsi="Tahoma" w:cs="Tahoma"/>
          <w:color w:val="000000" w:themeColor="text1"/>
          <w:sz w:val="22"/>
        </w:rPr>
      </w:pPr>
      <w:r w:rsidRPr="00541A80">
        <w:rPr>
          <w:rFonts w:ascii="Tahoma" w:hAnsi="Tahoma" w:cs="Tahoma"/>
          <w:color w:val="000000" w:themeColor="text1"/>
          <w:sz w:val="22"/>
        </w:rPr>
        <w:t>702-575-6666</w:t>
      </w:r>
    </w:p>
    <w:p w14:paraId="259AD4B6" w14:textId="77777777" w:rsidR="00E148E0" w:rsidRDefault="00E148E0" w:rsidP="00EC3537">
      <w:pPr>
        <w:jc w:val="both"/>
        <w:rPr>
          <w:rFonts w:ascii="Tahoma" w:hAnsi="Tahoma" w:cs="Tahoma"/>
          <w:b/>
          <w:color w:val="000000" w:themeColor="text1"/>
          <w:kern w:val="20"/>
          <w:sz w:val="18"/>
          <w:szCs w:val="38"/>
          <w:lang w:eastAsia="ja-JP"/>
        </w:rPr>
      </w:pPr>
    </w:p>
    <w:p w14:paraId="3FDF1977" w14:textId="77777777" w:rsidR="00465961" w:rsidRPr="007F3A95" w:rsidRDefault="00EC3537" w:rsidP="00EC3537">
      <w:pPr>
        <w:jc w:val="both"/>
        <w:rPr>
          <w:rFonts w:ascii="Tahoma" w:hAnsi="Tahoma" w:cs="Tahoma"/>
          <w:color w:val="000000" w:themeColor="text1"/>
          <w:kern w:val="20"/>
          <w:szCs w:val="38"/>
          <w:lang w:eastAsia="ja-JP"/>
        </w:rPr>
      </w:pPr>
      <w:r w:rsidRPr="007F3A95">
        <w:rPr>
          <w:rFonts w:ascii="Tahoma" w:hAnsi="Tahoma" w:cs="Tahoma"/>
          <w:b/>
          <w:color w:val="000000" w:themeColor="text1"/>
          <w:kern w:val="20"/>
          <w:sz w:val="18"/>
          <w:szCs w:val="38"/>
          <w:lang w:eastAsia="ja-JP"/>
        </w:rPr>
        <w:t>Disclaimer:</w:t>
      </w:r>
      <w:r w:rsidRPr="007F3A95">
        <w:rPr>
          <w:rFonts w:ascii="Tahoma" w:hAnsi="Tahoma" w:cs="Tahoma"/>
          <w:color w:val="000000" w:themeColor="text1"/>
          <w:kern w:val="20"/>
          <w:sz w:val="18"/>
          <w:szCs w:val="38"/>
          <w:lang w:eastAsia="ja-JP"/>
        </w:rPr>
        <w:t xml:space="preserve"> The submitting entity understands and agrees that certification of the investment policy does not constitute any warranty or insurance of the performance of the entity’s investment policy or program.  Accordingly, and pursuant to this agreement, the entity agrees to indemnify any officers, reviewers, and employees of GIOA</w:t>
      </w:r>
      <w:r w:rsidR="00541BA0" w:rsidRPr="00541BA0">
        <w:rPr>
          <w:rFonts w:ascii="Tahoma" w:hAnsi="Tahoma" w:cs="Tahoma"/>
          <w:color w:val="000000" w:themeColor="text1"/>
          <w:kern w:val="20"/>
          <w:sz w:val="18"/>
          <w:szCs w:val="38"/>
          <w:lang w:eastAsia="ja-JP"/>
        </w:rPr>
        <w:t>.  Policy standards established are based on industry best standards and may not reflect state and local restrictions.  It is th</w:t>
      </w:r>
      <w:r w:rsidR="00BB2BFB">
        <w:rPr>
          <w:rFonts w:ascii="Tahoma" w:hAnsi="Tahoma" w:cs="Tahoma"/>
          <w:color w:val="000000" w:themeColor="text1"/>
          <w:kern w:val="20"/>
          <w:sz w:val="18"/>
          <w:szCs w:val="38"/>
          <w:lang w:eastAsia="ja-JP"/>
        </w:rPr>
        <w:t>e responsibility of the entity’s</w:t>
      </w:r>
      <w:r w:rsidR="00541BA0" w:rsidRPr="00541BA0">
        <w:rPr>
          <w:rFonts w:ascii="Tahoma" w:hAnsi="Tahoma" w:cs="Tahoma"/>
          <w:color w:val="000000" w:themeColor="text1"/>
          <w:kern w:val="20"/>
          <w:sz w:val="18"/>
          <w:szCs w:val="38"/>
          <w:lang w:eastAsia="ja-JP"/>
        </w:rPr>
        <w:t xml:space="preserve"> governing board</w:t>
      </w:r>
      <w:r w:rsidR="00BB2BFB">
        <w:rPr>
          <w:rFonts w:ascii="Tahoma" w:hAnsi="Tahoma" w:cs="Tahoma"/>
          <w:color w:val="000000" w:themeColor="text1"/>
          <w:kern w:val="20"/>
          <w:sz w:val="18"/>
          <w:szCs w:val="38"/>
          <w:lang w:eastAsia="ja-JP"/>
        </w:rPr>
        <w:t xml:space="preserve"> and officers</w:t>
      </w:r>
      <w:r w:rsidR="00541BA0" w:rsidRPr="00541BA0">
        <w:rPr>
          <w:rFonts w:ascii="Tahoma" w:hAnsi="Tahoma" w:cs="Tahoma"/>
          <w:color w:val="000000" w:themeColor="text1"/>
          <w:kern w:val="20"/>
          <w:sz w:val="18"/>
          <w:szCs w:val="38"/>
          <w:lang w:eastAsia="ja-JP"/>
        </w:rPr>
        <w:t xml:space="preserve"> to adhere to local </w:t>
      </w:r>
      <w:r w:rsidR="00541BA0">
        <w:rPr>
          <w:rFonts w:ascii="Tahoma" w:hAnsi="Tahoma" w:cs="Tahoma"/>
          <w:color w:val="000000" w:themeColor="text1"/>
          <w:kern w:val="20"/>
          <w:sz w:val="18"/>
          <w:szCs w:val="38"/>
          <w:lang w:eastAsia="ja-JP"/>
        </w:rPr>
        <w:t>laws and ordinances</w:t>
      </w:r>
      <w:r w:rsidR="00AE50EA">
        <w:rPr>
          <w:rFonts w:ascii="Tahoma" w:hAnsi="Tahoma" w:cs="Tahoma"/>
          <w:color w:val="000000" w:themeColor="text1"/>
          <w:kern w:val="20"/>
          <w:sz w:val="18"/>
          <w:szCs w:val="38"/>
          <w:lang w:eastAsia="ja-JP"/>
        </w:rPr>
        <w:t>.</w:t>
      </w:r>
      <w:r w:rsidR="00465961" w:rsidRPr="007F3A95">
        <w:rPr>
          <w:rFonts w:ascii="Tahoma" w:hAnsi="Tahoma" w:cs="Tahoma"/>
          <w:color w:val="000000" w:themeColor="text1"/>
          <w:kern w:val="20"/>
          <w:szCs w:val="38"/>
          <w:lang w:eastAsia="ja-JP"/>
        </w:rPr>
        <w:br w:type="page"/>
      </w:r>
    </w:p>
    <w:p w14:paraId="6CE0D1C7" w14:textId="77777777" w:rsidR="00DA4B35" w:rsidRPr="00DA4B35" w:rsidRDefault="00DA4B35" w:rsidP="00DA4B35">
      <w:pPr>
        <w:jc w:val="center"/>
        <w:rPr>
          <w:rFonts w:ascii="Tahoma" w:hAnsi="Tahoma" w:cs="Tahoma"/>
          <w:b/>
          <w:color w:val="000000" w:themeColor="text1"/>
          <w:sz w:val="32"/>
          <w:szCs w:val="38"/>
        </w:rPr>
      </w:pPr>
      <w:r w:rsidRPr="00DA4B35">
        <w:rPr>
          <w:rFonts w:ascii="Tahoma" w:hAnsi="Tahoma" w:cs="Tahoma"/>
          <w:b/>
          <w:color w:val="000000" w:themeColor="text1"/>
          <w:sz w:val="32"/>
          <w:szCs w:val="38"/>
        </w:rPr>
        <w:lastRenderedPageBreak/>
        <w:t>GIOA Investment Policy Certification Form</w:t>
      </w:r>
    </w:p>
    <w:p w14:paraId="07DCC08C" w14:textId="6D2D5651" w:rsidR="00EC3537" w:rsidRDefault="00EC3537" w:rsidP="00E7737C">
      <w:pPr>
        <w:jc w:val="both"/>
        <w:rPr>
          <w:rFonts w:ascii="Tahoma" w:hAnsi="Tahoma" w:cs="Tahoma"/>
          <w:color w:val="000000" w:themeColor="text1"/>
          <w:sz w:val="24"/>
          <w:szCs w:val="38"/>
        </w:rPr>
      </w:pPr>
      <w:r>
        <w:rPr>
          <w:rFonts w:ascii="Tahoma" w:hAnsi="Tahoma" w:cs="Tahoma"/>
          <w:color w:val="000000" w:themeColor="text1"/>
          <w:sz w:val="24"/>
          <w:szCs w:val="38"/>
        </w:rPr>
        <w:t>Please email this completed form and your entity’s full investment policy to</w:t>
      </w:r>
      <w:r w:rsidR="00B42CB2">
        <w:rPr>
          <w:rFonts w:ascii="Tahoma" w:hAnsi="Tahoma" w:cs="Tahoma"/>
          <w:color w:val="000000" w:themeColor="text1"/>
          <w:sz w:val="24"/>
          <w:szCs w:val="38"/>
        </w:rPr>
        <w:t xml:space="preserve"> r</w:t>
      </w:r>
      <w:r w:rsidR="00E7737C">
        <w:rPr>
          <w:rFonts w:ascii="Tahoma" w:hAnsi="Tahoma" w:cs="Tahoma"/>
          <w:color w:val="000000" w:themeColor="text1"/>
          <w:sz w:val="24"/>
          <w:szCs w:val="38"/>
        </w:rPr>
        <w:t>phillips@meederinvestment</w:t>
      </w:r>
      <w:r w:rsidR="00B42CB2">
        <w:rPr>
          <w:rFonts w:ascii="Tahoma" w:hAnsi="Tahoma" w:cs="Tahoma"/>
          <w:color w:val="000000" w:themeColor="text1"/>
          <w:sz w:val="24"/>
          <w:szCs w:val="38"/>
        </w:rPr>
        <w:t>.com</w:t>
      </w:r>
      <w:r>
        <w:rPr>
          <w:rFonts w:ascii="Tahoma" w:hAnsi="Tahoma" w:cs="Tahoma"/>
          <w:color w:val="000000" w:themeColor="text1"/>
          <w:sz w:val="24"/>
          <w:szCs w:val="38"/>
        </w:rPr>
        <w:t>.  Please send payment</w:t>
      </w:r>
      <w:r w:rsidR="000E1CDF">
        <w:rPr>
          <w:rFonts w:ascii="Tahoma" w:hAnsi="Tahoma" w:cs="Tahoma"/>
          <w:color w:val="000000" w:themeColor="text1"/>
          <w:sz w:val="24"/>
          <w:szCs w:val="38"/>
        </w:rPr>
        <w:t xml:space="preserve"> of $150</w:t>
      </w:r>
      <w:r w:rsidR="003F0D1A">
        <w:rPr>
          <w:rFonts w:ascii="Tahoma" w:hAnsi="Tahoma" w:cs="Tahoma"/>
          <w:color w:val="000000" w:themeColor="text1"/>
          <w:sz w:val="24"/>
          <w:szCs w:val="38"/>
        </w:rPr>
        <w:t xml:space="preserve"> (payable to “GIOA”)</w:t>
      </w:r>
      <w:r>
        <w:rPr>
          <w:rFonts w:ascii="Tahoma" w:hAnsi="Tahoma" w:cs="Tahoma"/>
          <w:color w:val="000000" w:themeColor="text1"/>
          <w:sz w:val="24"/>
          <w:szCs w:val="38"/>
        </w:rPr>
        <w:t xml:space="preserve"> to: </w:t>
      </w:r>
    </w:p>
    <w:p w14:paraId="3AD37B13" w14:textId="77777777" w:rsidR="00DA4B35" w:rsidRPr="00EC3537" w:rsidRDefault="00EC3537" w:rsidP="00EC3537">
      <w:pPr>
        <w:pStyle w:val="NoSpacing"/>
        <w:ind w:left="0"/>
        <w:rPr>
          <w:rFonts w:ascii="Tahoma" w:hAnsi="Tahoma" w:cs="Tahoma"/>
          <w:color w:val="000000" w:themeColor="text1"/>
        </w:rPr>
      </w:pPr>
      <w:r w:rsidRPr="00EC3537">
        <w:rPr>
          <w:rFonts w:ascii="Tahoma" w:hAnsi="Tahoma" w:cs="Tahoma"/>
          <w:color w:val="000000" w:themeColor="text1"/>
        </w:rPr>
        <w:t>GIOA Investment Policy Certification</w:t>
      </w:r>
    </w:p>
    <w:p w14:paraId="5E2554ED" w14:textId="77777777" w:rsidR="00EC3537" w:rsidRPr="00EC3537" w:rsidRDefault="00EC3537" w:rsidP="00EC3537">
      <w:pPr>
        <w:pStyle w:val="NoSpacing"/>
        <w:ind w:left="0"/>
        <w:rPr>
          <w:rFonts w:ascii="Tahoma" w:hAnsi="Tahoma" w:cs="Tahoma"/>
          <w:color w:val="000000" w:themeColor="text1"/>
        </w:rPr>
      </w:pPr>
      <w:r w:rsidRPr="00EC3537">
        <w:rPr>
          <w:rFonts w:ascii="Tahoma" w:hAnsi="Tahoma" w:cs="Tahoma"/>
          <w:color w:val="000000" w:themeColor="text1"/>
        </w:rPr>
        <w:t>10655 Park Run Drive #120</w:t>
      </w:r>
    </w:p>
    <w:p w14:paraId="5937FDCF" w14:textId="77777777" w:rsidR="00EC3537" w:rsidRPr="00EC3537" w:rsidRDefault="00EC3537" w:rsidP="00EC3537">
      <w:pPr>
        <w:pStyle w:val="NoSpacing"/>
        <w:ind w:left="0"/>
        <w:rPr>
          <w:rFonts w:ascii="Tahoma" w:hAnsi="Tahoma" w:cs="Tahoma"/>
          <w:color w:val="000000" w:themeColor="text1"/>
        </w:rPr>
      </w:pPr>
      <w:r w:rsidRPr="00EC3537">
        <w:rPr>
          <w:rFonts w:ascii="Tahoma" w:hAnsi="Tahoma" w:cs="Tahoma"/>
          <w:color w:val="000000" w:themeColor="text1"/>
        </w:rPr>
        <w:t>Las Vegas, Nevada 89144</w:t>
      </w:r>
    </w:p>
    <w:p w14:paraId="5410D5C0" w14:textId="77777777" w:rsidR="00FE1D32" w:rsidRDefault="00FE1D32" w:rsidP="00EC3537">
      <w:pPr>
        <w:pStyle w:val="NoSpacing"/>
        <w:ind w:left="0"/>
      </w:pPr>
    </w:p>
    <w:tbl>
      <w:tblPr>
        <w:tblW w:w="9450" w:type="dxa"/>
        <w:tblLook w:val="04A0" w:firstRow="1" w:lastRow="0" w:firstColumn="1" w:lastColumn="0" w:noHBand="0" w:noVBand="1"/>
      </w:tblPr>
      <w:tblGrid>
        <w:gridCol w:w="270"/>
        <w:gridCol w:w="3780"/>
        <w:gridCol w:w="5400"/>
      </w:tblGrid>
      <w:tr w:rsidR="00EC3537" w:rsidRPr="00EC3537" w14:paraId="4A9448E7" w14:textId="77777777" w:rsidTr="0047376F">
        <w:trPr>
          <w:trHeight w:val="341"/>
        </w:trPr>
        <w:tc>
          <w:tcPr>
            <w:tcW w:w="270" w:type="dxa"/>
            <w:tcBorders>
              <w:top w:val="nil"/>
              <w:left w:val="nil"/>
              <w:bottom w:val="nil"/>
              <w:right w:val="nil"/>
            </w:tcBorders>
            <w:noWrap/>
            <w:vAlign w:val="bottom"/>
            <w:hideMark/>
          </w:tcPr>
          <w:p w14:paraId="24E501A4" w14:textId="77777777" w:rsidR="00EC3537" w:rsidRPr="00EC3537" w:rsidRDefault="00EC3537" w:rsidP="00EC3537">
            <w:pPr>
              <w:spacing w:after="0" w:line="240" w:lineRule="auto"/>
              <w:rPr>
                <w:rFonts w:ascii="Times New Roman" w:eastAsia="Times New Roman" w:hAnsi="Times New Roman" w:cs="Times New Roman"/>
                <w:sz w:val="24"/>
                <w:szCs w:val="24"/>
              </w:rPr>
            </w:pPr>
          </w:p>
        </w:tc>
        <w:tc>
          <w:tcPr>
            <w:tcW w:w="91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07CB0B9"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Entity Name (As it will appear on the Certificate)</w:t>
            </w:r>
          </w:p>
        </w:tc>
      </w:tr>
      <w:tr w:rsidR="00EC3537" w:rsidRPr="00EC3537" w14:paraId="66BDD9B3" w14:textId="77777777" w:rsidTr="00EC3537">
        <w:trPr>
          <w:trHeight w:val="435"/>
        </w:trPr>
        <w:tc>
          <w:tcPr>
            <w:tcW w:w="270" w:type="dxa"/>
            <w:tcBorders>
              <w:top w:val="nil"/>
              <w:left w:val="nil"/>
              <w:bottom w:val="nil"/>
              <w:right w:val="nil"/>
            </w:tcBorders>
            <w:noWrap/>
            <w:vAlign w:val="bottom"/>
            <w:hideMark/>
          </w:tcPr>
          <w:p w14:paraId="35BD9964"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000000"/>
            </w:tcBorders>
            <w:noWrap/>
            <w:vAlign w:val="bottom"/>
            <w:hideMark/>
          </w:tcPr>
          <w:p w14:paraId="45B25D9B"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 </w:t>
            </w:r>
          </w:p>
        </w:tc>
      </w:tr>
      <w:tr w:rsidR="00EC3537" w:rsidRPr="00EC3537" w14:paraId="2343D404" w14:textId="77777777" w:rsidTr="0047376F">
        <w:trPr>
          <w:trHeight w:val="350"/>
        </w:trPr>
        <w:tc>
          <w:tcPr>
            <w:tcW w:w="270" w:type="dxa"/>
            <w:tcBorders>
              <w:top w:val="nil"/>
              <w:left w:val="nil"/>
              <w:bottom w:val="nil"/>
              <w:right w:val="nil"/>
            </w:tcBorders>
            <w:noWrap/>
            <w:vAlign w:val="bottom"/>
            <w:hideMark/>
          </w:tcPr>
          <w:p w14:paraId="1C55926E"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9DF36BE" w14:textId="4C34FB8A"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Mailing Address</w:t>
            </w:r>
            <w:r w:rsidR="009E2C15">
              <w:rPr>
                <w:rFonts w:ascii="Calibri" w:eastAsia="Times New Roman" w:hAnsi="Calibri" w:cs="Calibri"/>
                <w:b/>
                <w:bCs/>
                <w:color w:val="000000"/>
              </w:rPr>
              <w:t xml:space="preserve"> for Certificate</w:t>
            </w:r>
          </w:p>
        </w:tc>
      </w:tr>
      <w:tr w:rsidR="00EC3537" w:rsidRPr="00EC3537" w14:paraId="070FF9DB" w14:textId="77777777" w:rsidTr="00EC3537">
        <w:trPr>
          <w:trHeight w:val="435"/>
        </w:trPr>
        <w:tc>
          <w:tcPr>
            <w:tcW w:w="270" w:type="dxa"/>
            <w:tcBorders>
              <w:top w:val="nil"/>
              <w:left w:val="nil"/>
              <w:bottom w:val="nil"/>
              <w:right w:val="nil"/>
            </w:tcBorders>
            <w:noWrap/>
            <w:vAlign w:val="bottom"/>
            <w:hideMark/>
          </w:tcPr>
          <w:p w14:paraId="7C2971BE"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000000"/>
            </w:tcBorders>
            <w:noWrap/>
            <w:vAlign w:val="bottom"/>
            <w:hideMark/>
          </w:tcPr>
          <w:p w14:paraId="5CFD937D"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 </w:t>
            </w:r>
          </w:p>
        </w:tc>
      </w:tr>
      <w:tr w:rsidR="00EC3537" w:rsidRPr="00EC3537" w14:paraId="75C5225C" w14:textId="77777777" w:rsidTr="0047376F">
        <w:trPr>
          <w:trHeight w:val="350"/>
        </w:trPr>
        <w:tc>
          <w:tcPr>
            <w:tcW w:w="270" w:type="dxa"/>
            <w:tcBorders>
              <w:top w:val="nil"/>
              <w:left w:val="nil"/>
              <w:bottom w:val="nil"/>
              <w:right w:val="nil"/>
            </w:tcBorders>
            <w:noWrap/>
            <w:vAlign w:val="bottom"/>
            <w:hideMark/>
          </w:tcPr>
          <w:p w14:paraId="0AF0F910"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98F9E9F"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Entity Contact and Phone Number</w:t>
            </w:r>
          </w:p>
        </w:tc>
      </w:tr>
      <w:tr w:rsidR="00EC3537" w:rsidRPr="00EC3537" w14:paraId="0401856D" w14:textId="77777777" w:rsidTr="00EC3537">
        <w:trPr>
          <w:trHeight w:val="435"/>
        </w:trPr>
        <w:tc>
          <w:tcPr>
            <w:tcW w:w="270" w:type="dxa"/>
            <w:tcBorders>
              <w:top w:val="nil"/>
              <w:left w:val="nil"/>
              <w:bottom w:val="nil"/>
              <w:right w:val="nil"/>
            </w:tcBorders>
            <w:noWrap/>
            <w:vAlign w:val="bottom"/>
            <w:hideMark/>
          </w:tcPr>
          <w:p w14:paraId="26C41324"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000000"/>
            </w:tcBorders>
            <w:noWrap/>
            <w:vAlign w:val="bottom"/>
            <w:hideMark/>
          </w:tcPr>
          <w:p w14:paraId="4B1F1F53"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 </w:t>
            </w:r>
          </w:p>
        </w:tc>
      </w:tr>
      <w:tr w:rsidR="00EC3537" w:rsidRPr="00EC3537" w14:paraId="7099C814" w14:textId="77777777" w:rsidTr="0047376F">
        <w:trPr>
          <w:trHeight w:val="359"/>
        </w:trPr>
        <w:tc>
          <w:tcPr>
            <w:tcW w:w="270" w:type="dxa"/>
            <w:tcBorders>
              <w:top w:val="nil"/>
              <w:left w:val="nil"/>
              <w:bottom w:val="nil"/>
              <w:right w:val="nil"/>
            </w:tcBorders>
            <w:noWrap/>
            <w:vAlign w:val="bottom"/>
            <w:hideMark/>
          </w:tcPr>
          <w:p w14:paraId="49686B02"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5DDFF59"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Contact's Email Address</w:t>
            </w:r>
          </w:p>
        </w:tc>
      </w:tr>
      <w:tr w:rsidR="00EC3537" w:rsidRPr="00EC3537" w14:paraId="6B541D30" w14:textId="77777777" w:rsidTr="00EC3537">
        <w:trPr>
          <w:trHeight w:val="435"/>
        </w:trPr>
        <w:tc>
          <w:tcPr>
            <w:tcW w:w="270" w:type="dxa"/>
            <w:tcBorders>
              <w:top w:val="nil"/>
              <w:left w:val="nil"/>
              <w:bottom w:val="nil"/>
              <w:right w:val="nil"/>
            </w:tcBorders>
            <w:noWrap/>
            <w:vAlign w:val="bottom"/>
            <w:hideMark/>
          </w:tcPr>
          <w:p w14:paraId="569DA3CC"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000000"/>
            </w:tcBorders>
            <w:noWrap/>
            <w:vAlign w:val="bottom"/>
            <w:hideMark/>
          </w:tcPr>
          <w:p w14:paraId="78A19EC0"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 </w:t>
            </w:r>
          </w:p>
        </w:tc>
      </w:tr>
      <w:tr w:rsidR="00EC3537" w:rsidRPr="00EC3537" w14:paraId="2E1AB313" w14:textId="77777777" w:rsidTr="0047376F">
        <w:trPr>
          <w:trHeight w:val="368"/>
        </w:trPr>
        <w:tc>
          <w:tcPr>
            <w:tcW w:w="270" w:type="dxa"/>
            <w:tcBorders>
              <w:top w:val="nil"/>
              <w:left w:val="nil"/>
              <w:bottom w:val="nil"/>
              <w:right w:val="nil"/>
            </w:tcBorders>
            <w:noWrap/>
            <w:vAlign w:val="bottom"/>
            <w:hideMark/>
          </w:tcPr>
          <w:p w14:paraId="14F0BAF1"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24076CE"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Size of Investment Portfolio</w:t>
            </w:r>
          </w:p>
        </w:tc>
      </w:tr>
      <w:tr w:rsidR="00EC3537" w:rsidRPr="00EC3537" w14:paraId="0D87E59D" w14:textId="77777777" w:rsidTr="00EC3537">
        <w:trPr>
          <w:trHeight w:val="435"/>
        </w:trPr>
        <w:tc>
          <w:tcPr>
            <w:tcW w:w="270" w:type="dxa"/>
            <w:tcBorders>
              <w:top w:val="nil"/>
              <w:left w:val="nil"/>
              <w:bottom w:val="nil"/>
              <w:right w:val="nil"/>
            </w:tcBorders>
            <w:noWrap/>
            <w:vAlign w:val="bottom"/>
            <w:hideMark/>
          </w:tcPr>
          <w:p w14:paraId="5154ABA7"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000000"/>
            </w:tcBorders>
            <w:noWrap/>
            <w:vAlign w:val="bottom"/>
            <w:hideMark/>
          </w:tcPr>
          <w:p w14:paraId="384A1802"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w:t>
            </w:r>
          </w:p>
        </w:tc>
      </w:tr>
      <w:tr w:rsidR="00EC3537" w:rsidRPr="00EC3537" w14:paraId="333E4F7E" w14:textId="77777777" w:rsidTr="0047376F">
        <w:trPr>
          <w:trHeight w:val="359"/>
        </w:trPr>
        <w:tc>
          <w:tcPr>
            <w:tcW w:w="270" w:type="dxa"/>
            <w:tcBorders>
              <w:top w:val="nil"/>
              <w:left w:val="nil"/>
              <w:bottom w:val="nil"/>
              <w:right w:val="nil"/>
            </w:tcBorders>
            <w:noWrap/>
            <w:vAlign w:val="bottom"/>
            <w:hideMark/>
          </w:tcPr>
          <w:p w14:paraId="31806631" w14:textId="77777777" w:rsidR="00EC3537" w:rsidRPr="00EC3537" w:rsidRDefault="00EC3537" w:rsidP="00EC3537">
            <w:pPr>
              <w:spacing w:after="0" w:line="240" w:lineRule="auto"/>
              <w:rPr>
                <w:rFonts w:ascii="Calibri" w:eastAsia="Times New Roman" w:hAnsi="Calibri" w:cs="Calibri"/>
                <w:b/>
                <w:bCs/>
                <w:color w:val="000000"/>
              </w:rPr>
            </w:pPr>
          </w:p>
        </w:tc>
        <w:tc>
          <w:tcPr>
            <w:tcW w:w="91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5DD3B72"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Composition of Portfolio</w:t>
            </w:r>
          </w:p>
        </w:tc>
      </w:tr>
      <w:tr w:rsidR="00EC3537" w:rsidRPr="00EC3537" w14:paraId="7505AD12" w14:textId="77777777" w:rsidTr="00EC3537">
        <w:trPr>
          <w:trHeight w:val="435"/>
        </w:trPr>
        <w:tc>
          <w:tcPr>
            <w:tcW w:w="270" w:type="dxa"/>
            <w:tcBorders>
              <w:top w:val="nil"/>
              <w:left w:val="nil"/>
              <w:bottom w:val="nil"/>
              <w:right w:val="nil"/>
            </w:tcBorders>
            <w:noWrap/>
            <w:vAlign w:val="bottom"/>
            <w:hideMark/>
          </w:tcPr>
          <w:p w14:paraId="787C6EC2" w14:textId="77777777" w:rsidR="00EC3537" w:rsidRPr="00EC3537" w:rsidRDefault="00EC3537" w:rsidP="00EC3537">
            <w:pPr>
              <w:spacing w:after="0" w:line="240" w:lineRule="auto"/>
              <w:rPr>
                <w:rFonts w:ascii="Calibri" w:eastAsia="Times New Roman" w:hAnsi="Calibri" w:cs="Calibri"/>
                <w:b/>
                <w:bCs/>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58B20E72"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MMF</w:t>
            </w:r>
            <w:r w:rsidR="00E026C1">
              <w:rPr>
                <w:rFonts w:ascii="Calibri" w:eastAsia="Times New Roman" w:hAnsi="Calibri" w:cs="Calibri"/>
                <w:b/>
                <w:bCs/>
                <w:color w:val="000000"/>
              </w:rPr>
              <w:t>/ICS</w:t>
            </w:r>
          </w:p>
        </w:tc>
        <w:tc>
          <w:tcPr>
            <w:tcW w:w="5400" w:type="dxa"/>
            <w:tcBorders>
              <w:top w:val="nil"/>
              <w:left w:val="nil"/>
              <w:bottom w:val="single" w:sz="4" w:space="0" w:color="auto"/>
              <w:right w:val="single" w:sz="4" w:space="0" w:color="auto"/>
            </w:tcBorders>
            <w:noWrap/>
            <w:vAlign w:val="bottom"/>
            <w:hideMark/>
          </w:tcPr>
          <w:p w14:paraId="41E122ED"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1A3056E5" w14:textId="77777777" w:rsidTr="00EC3537">
        <w:trPr>
          <w:trHeight w:val="435"/>
        </w:trPr>
        <w:tc>
          <w:tcPr>
            <w:tcW w:w="270" w:type="dxa"/>
            <w:tcBorders>
              <w:top w:val="nil"/>
              <w:left w:val="nil"/>
              <w:bottom w:val="nil"/>
              <w:right w:val="nil"/>
            </w:tcBorders>
            <w:noWrap/>
            <w:vAlign w:val="bottom"/>
            <w:hideMark/>
          </w:tcPr>
          <w:p w14:paraId="75CD769C"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664C2E3D"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State Pool</w:t>
            </w:r>
          </w:p>
        </w:tc>
        <w:tc>
          <w:tcPr>
            <w:tcW w:w="5400" w:type="dxa"/>
            <w:tcBorders>
              <w:top w:val="nil"/>
              <w:left w:val="nil"/>
              <w:bottom w:val="single" w:sz="4" w:space="0" w:color="auto"/>
              <w:right w:val="single" w:sz="4" w:space="0" w:color="auto"/>
            </w:tcBorders>
            <w:noWrap/>
            <w:vAlign w:val="bottom"/>
            <w:hideMark/>
          </w:tcPr>
          <w:p w14:paraId="1396C5D6"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5322CCBD" w14:textId="77777777" w:rsidTr="00EC3537">
        <w:trPr>
          <w:trHeight w:val="435"/>
        </w:trPr>
        <w:tc>
          <w:tcPr>
            <w:tcW w:w="270" w:type="dxa"/>
            <w:tcBorders>
              <w:top w:val="nil"/>
              <w:left w:val="nil"/>
              <w:bottom w:val="nil"/>
              <w:right w:val="nil"/>
            </w:tcBorders>
            <w:noWrap/>
            <w:vAlign w:val="bottom"/>
            <w:hideMark/>
          </w:tcPr>
          <w:p w14:paraId="4B8252DA"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61B14FDB"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Repo</w:t>
            </w:r>
          </w:p>
        </w:tc>
        <w:tc>
          <w:tcPr>
            <w:tcW w:w="5400" w:type="dxa"/>
            <w:tcBorders>
              <w:top w:val="nil"/>
              <w:left w:val="nil"/>
              <w:bottom w:val="single" w:sz="4" w:space="0" w:color="auto"/>
              <w:right w:val="single" w:sz="4" w:space="0" w:color="auto"/>
            </w:tcBorders>
            <w:noWrap/>
            <w:vAlign w:val="bottom"/>
            <w:hideMark/>
          </w:tcPr>
          <w:p w14:paraId="6A517C84"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057CAA" w:rsidRPr="00EC3537" w14:paraId="4BF21190" w14:textId="77777777" w:rsidTr="00EC3537">
        <w:trPr>
          <w:trHeight w:val="435"/>
        </w:trPr>
        <w:tc>
          <w:tcPr>
            <w:tcW w:w="270" w:type="dxa"/>
            <w:tcBorders>
              <w:top w:val="nil"/>
              <w:left w:val="nil"/>
              <w:bottom w:val="nil"/>
              <w:right w:val="nil"/>
            </w:tcBorders>
            <w:noWrap/>
            <w:vAlign w:val="bottom"/>
          </w:tcPr>
          <w:p w14:paraId="79154101" w14:textId="77777777" w:rsidR="00057CAA" w:rsidRPr="00EC3537" w:rsidRDefault="00057CAA"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tcPr>
          <w:p w14:paraId="3F6BB51B" w14:textId="77777777" w:rsidR="00057CAA" w:rsidRPr="00EC3537" w:rsidRDefault="004929F9" w:rsidP="00EC3537">
            <w:pPr>
              <w:spacing w:after="0" w:line="240" w:lineRule="auto"/>
              <w:rPr>
                <w:rFonts w:ascii="Calibri" w:eastAsia="Times New Roman" w:hAnsi="Calibri" w:cs="Calibri"/>
                <w:b/>
                <w:bCs/>
                <w:color w:val="000000"/>
              </w:rPr>
            </w:pPr>
            <w:r>
              <w:rPr>
                <w:rFonts w:ascii="Calibri" w:eastAsia="Times New Roman" w:hAnsi="Calibri" w:cs="Calibri"/>
                <w:b/>
                <w:bCs/>
                <w:color w:val="000000"/>
              </w:rPr>
              <w:t>Commercial Paper</w:t>
            </w:r>
          </w:p>
        </w:tc>
        <w:tc>
          <w:tcPr>
            <w:tcW w:w="5400" w:type="dxa"/>
            <w:tcBorders>
              <w:top w:val="nil"/>
              <w:left w:val="nil"/>
              <w:bottom w:val="single" w:sz="4" w:space="0" w:color="auto"/>
              <w:right w:val="single" w:sz="4" w:space="0" w:color="auto"/>
            </w:tcBorders>
            <w:noWrap/>
            <w:vAlign w:val="bottom"/>
          </w:tcPr>
          <w:p w14:paraId="220F9C76" w14:textId="49791B86" w:rsidR="00057CAA" w:rsidRPr="00EC3537" w:rsidRDefault="004475F0" w:rsidP="00EC3537">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EC3537" w:rsidRPr="00EC3537" w14:paraId="58BB9968" w14:textId="77777777" w:rsidTr="00EC3537">
        <w:trPr>
          <w:trHeight w:val="435"/>
        </w:trPr>
        <w:tc>
          <w:tcPr>
            <w:tcW w:w="270" w:type="dxa"/>
            <w:tcBorders>
              <w:top w:val="nil"/>
              <w:left w:val="nil"/>
              <w:bottom w:val="nil"/>
              <w:right w:val="nil"/>
            </w:tcBorders>
            <w:noWrap/>
            <w:vAlign w:val="bottom"/>
            <w:hideMark/>
          </w:tcPr>
          <w:p w14:paraId="2098B215"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1CF49145"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Treasury</w:t>
            </w:r>
          </w:p>
        </w:tc>
        <w:tc>
          <w:tcPr>
            <w:tcW w:w="5400" w:type="dxa"/>
            <w:tcBorders>
              <w:top w:val="nil"/>
              <w:left w:val="nil"/>
              <w:bottom w:val="single" w:sz="4" w:space="0" w:color="auto"/>
              <w:right w:val="single" w:sz="4" w:space="0" w:color="auto"/>
            </w:tcBorders>
            <w:noWrap/>
            <w:vAlign w:val="bottom"/>
            <w:hideMark/>
          </w:tcPr>
          <w:p w14:paraId="6D75BC09"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302B437C" w14:textId="77777777" w:rsidTr="00EC3537">
        <w:trPr>
          <w:trHeight w:val="435"/>
        </w:trPr>
        <w:tc>
          <w:tcPr>
            <w:tcW w:w="270" w:type="dxa"/>
            <w:tcBorders>
              <w:top w:val="nil"/>
              <w:left w:val="nil"/>
              <w:bottom w:val="nil"/>
              <w:right w:val="nil"/>
            </w:tcBorders>
            <w:noWrap/>
            <w:vAlign w:val="bottom"/>
            <w:hideMark/>
          </w:tcPr>
          <w:p w14:paraId="2FF9199A"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0257F53A"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Agency</w:t>
            </w:r>
          </w:p>
        </w:tc>
        <w:tc>
          <w:tcPr>
            <w:tcW w:w="5400" w:type="dxa"/>
            <w:tcBorders>
              <w:top w:val="nil"/>
              <w:left w:val="nil"/>
              <w:bottom w:val="single" w:sz="4" w:space="0" w:color="auto"/>
              <w:right w:val="single" w:sz="4" w:space="0" w:color="auto"/>
            </w:tcBorders>
            <w:noWrap/>
            <w:vAlign w:val="bottom"/>
            <w:hideMark/>
          </w:tcPr>
          <w:p w14:paraId="0367621A"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3353336B" w14:textId="77777777" w:rsidTr="00EC3537">
        <w:trPr>
          <w:trHeight w:val="435"/>
        </w:trPr>
        <w:tc>
          <w:tcPr>
            <w:tcW w:w="270" w:type="dxa"/>
            <w:tcBorders>
              <w:top w:val="nil"/>
              <w:left w:val="nil"/>
              <w:bottom w:val="nil"/>
              <w:right w:val="nil"/>
            </w:tcBorders>
            <w:noWrap/>
            <w:vAlign w:val="bottom"/>
            <w:hideMark/>
          </w:tcPr>
          <w:p w14:paraId="06C8B3D3"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5CA74A54"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Supranational</w:t>
            </w:r>
          </w:p>
        </w:tc>
        <w:tc>
          <w:tcPr>
            <w:tcW w:w="5400" w:type="dxa"/>
            <w:tcBorders>
              <w:top w:val="nil"/>
              <w:left w:val="nil"/>
              <w:bottom w:val="single" w:sz="4" w:space="0" w:color="auto"/>
              <w:right w:val="single" w:sz="4" w:space="0" w:color="auto"/>
            </w:tcBorders>
            <w:noWrap/>
            <w:vAlign w:val="bottom"/>
            <w:hideMark/>
          </w:tcPr>
          <w:p w14:paraId="18DB6234"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5988B9A6" w14:textId="77777777" w:rsidTr="00EC3537">
        <w:trPr>
          <w:trHeight w:val="435"/>
        </w:trPr>
        <w:tc>
          <w:tcPr>
            <w:tcW w:w="270" w:type="dxa"/>
            <w:tcBorders>
              <w:top w:val="nil"/>
              <w:left w:val="nil"/>
              <w:bottom w:val="nil"/>
              <w:right w:val="nil"/>
            </w:tcBorders>
            <w:noWrap/>
            <w:vAlign w:val="bottom"/>
            <w:hideMark/>
          </w:tcPr>
          <w:p w14:paraId="19E85123"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007D6736"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CD</w:t>
            </w:r>
            <w:r w:rsidR="00E026C1">
              <w:rPr>
                <w:rFonts w:ascii="Calibri" w:eastAsia="Times New Roman" w:hAnsi="Calibri" w:cs="Calibri"/>
                <w:b/>
                <w:bCs/>
                <w:color w:val="000000"/>
              </w:rPr>
              <w:t>/CDARS</w:t>
            </w:r>
          </w:p>
        </w:tc>
        <w:tc>
          <w:tcPr>
            <w:tcW w:w="5400" w:type="dxa"/>
            <w:tcBorders>
              <w:top w:val="nil"/>
              <w:left w:val="nil"/>
              <w:bottom w:val="single" w:sz="4" w:space="0" w:color="auto"/>
              <w:right w:val="single" w:sz="4" w:space="0" w:color="auto"/>
            </w:tcBorders>
            <w:noWrap/>
            <w:vAlign w:val="bottom"/>
            <w:hideMark/>
          </w:tcPr>
          <w:p w14:paraId="65ED3EA2"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47376F" w:rsidRPr="00EC3537" w14:paraId="3443B5B4" w14:textId="77777777" w:rsidTr="00EC3537">
        <w:trPr>
          <w:trHeight w:val="435"/>
        </w:trPr>
        <w:tc>
          <w:tcPr>
            <w:tcW w:w="270" w:type="dxa"/>
            <w:tcBorders>
              <w:top w:val="nil"/>
              <w:left w:val="nil"/>
              <w:bottom w:val="nil"/>
              <w:right w:val="nil"/>
            </w:tcBorders>
            <w:noWrap/>
            <w:vAlign w:val="bottom"/>
          </w:tcPr>
          <w:p w14:paraId="5532ACBA" w14:textId="77777777" w:rsidR="0047376F" w:rsidRPr="00EC3537" w:rsidRDefault="0047376F"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tcPr>
          <w:p w14:paraId="14192E4B" w14:textId="6C359D2F" w:rsidR="0047376F" w:rsidRPr="00EC3537" w:rsidRDefault="0047376F" w:rsidP="00EC3537">
            <w:pPr>
              <w:spacing w:after="0" w:line="240" w:lineRule="auto"/>
              <w:rPr>
                <w:rFonts w:ascii="Calibri" w:eastAsia="Times New Roman" w:hAnsi="Calibri" w:cs="Calibri"/>
                <w:b/>
                <w:bCs/>
                <w:color w:val="000000"/>
              </w:rPr>
            </w:pPr>
            <w:r>
              <w:rPr>
                <w:rFonts w:ascii="Calibri" w:eastAsia="Times New Roman" w:hAnsi="Calibri" w:cs="Calibri"/>
                <w:b/>
                <w:bCs/>
                <w:color w:val="000000"/>
              </w:rPr>
              <w:t>Corporate</w:t>
            </w:r>
          </w:p>
        </w:tc>
        <w:tc>
          <w:tcPr>
            <w:tcW w:w="5400" w:type="dxa"/>
            <w:tcBorders>
              <w:top w:val="nil"/>
              <w:left w:val="nil"/>
              <w:bottom w:val="single" w:sz="4" w:space="0" w:color="auto"/>
              <w:right w:val="single" w:sz="4" w:space="0" w:color="auto"/>
            </w:tcBorders>
            <w:noWrap/>
            <w:vAlign w:val="bottom"/>
          </w:tcPr>
          <w:p w14:paraId="2511BB1B" w14:textId="5FDC060A" w:rsidR="0047376F" w:rsidRPr="00EC3537" w:rsidRDefault="0047376F" w:rsidP="00EC3537">
            <w:pPr>
              <w:spacing w:after="0" w:line="240" w:lineRule="auto"/>
              <w:rPr>
                <w:rFonts w:ascii="Calibri" w:eastAsia="Times New Roman" w:hAnsi="Calibri" w:cs="Calibri"/>
                <w:color w:val="000000"/>
              </w:rPr>
            </w:pPr>
            <w:r>
              <w:rPr>
                <w:rFonts w:ascii="Calibri" w:eastAsia="Times New Roman" w:hAnsi="Calibri" w:cs="Calibri"/>
                <w:color w:val="000000"/>
              </w:rPr>
              <w:t>$</w:t>
            </w:r>
          </w:p>
        </w:tc>
      </w:tr>
      <w:tr w:rsidR="00EC3537" w:rsidRPr="00EC3537" w14:paraId="00294375" w14:textId="77777777" w:rsidTr="00EC3537">
        <w:trPr>
          <w:trHeight w:val="435"/>
        </w:trPr>
        <w:tc>
          <w:tcPr>
            <w:tcW w:w="270" w:type="dxa"/>
            <w:tcBorders>
              <w:top w:val="nil"/>
              <w:left w:val="nil"/>
              <w:bottom w:val="nil"/>
              <w:right w:val="nil"/>
            </w:tcBorders>
            <w:noWrap/>
            <w:vAlign w:val="bottom"/>
            <w:hideMark/>
          </w:tcPr>
          <w:p w14:paraId="6D46F0B7"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558D8D65"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ABS</w:t>
            </w:r>
          </w:p>
        </w:tc>
        <w:tc>
          <w:tcPr>
            <w:tcW w:w="5400" w:type="dxa"/>
            <w:tcBorders>
              <w:top w:val="nil"/>
              <w:left w:val="nil"/>
              <w:bottom w:val="single" w:sz="4" w:space="0" w:color="auto"/>
              <w:right w:val="single" w:sz="4" w:space="0" w:color="auto"/>
            </w:tcBorders>
            <w:noWrap/>
            <w:vAlign w:val="bottom"/>
            <w:hideMark/>
          </w:tcPr>
          <w:p w14:paraId="327651B4"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26E58FE7" w14:textId="77777777" w:rsidTr="00EC3537">
        <w:trPr>
          <w:trHeight w:val="435"/>
        </w:trPr>
        <w:tc>
          <w:tcPr>
            <w:tcW w:w="270" w:type="dxa"/>
            <w:tcBorders>
              <w:top w:val="nil"/>
              <w:left w:val="nil"/>
              <w:bottom w:val="nil"/>
              <w:right w:val="nil"/>
            </w:tcBorders>
            <w:noWrap/>
            <w:vAlign w:val="bottom"/>
            <w:hideMark/>
          </w:tcPr>
          <w:p w14:paraId="4A0D838B"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037C5381"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MBS</w:t>
            </w:r>
          </w:p>
        </w:tc>
        <w:tc>
          <w:tcPr>
            <w:tcW w:w="5400" w:type="dxa"/>
            <w:tcBorders>
              <w:top w:val="nil"/>
              <w:left w:val="nil"/>
              <w:bottom w:val="single" w:sz="4" w:space="0" w:color="auto"/>
              <w:right w:val="single" w:sz="4" w:space="0" w:color="auto"/>
            </w:tcBorders>
            <w:noWrap/>
            <w:vAlign w:val="bottom"/>
            <w:hideMark/>
          </w:tcPr>
          <w:p w14:paraId="539C1BDB"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33FDB8E0" w14:textId="77777777" w:rsidTr="00EC3537">
        <w:trPr>
          <w:trHeight w:val="435"/>
        </w:trPr>
        <w:tc>
          <w:tcPr>
            <w:tcW w:w="270" w:type="dxa"/>
            <w:tcBorders>
              <w:top w:val="nil"/>
              <w:left w:val="nil"/>
              <w:bottom w:val="nil"/>
              <w:right w:val="nil"/>
            </w:tcBorders>
            <w:noWrap/>
            <w:vAlign w:val="bottom"/>
            <w:hideMark/>
          </w:tcPr>
          <w:p w14:paraId="4FCE679C"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3C69AB95"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Bond Mutual Funds</w:t>
            </w:r>
          </w:p>
        </w:tc>
        <w:tc>
          <w:tcPr>
            <w:tcW w:w="5400" w:type="dxa"/>
            <w:tcBorders>
              <w:top w:val="nil"/>
              <w:left w:val="nil"/>
              <w:bottom w:val="single" w:sz="4" w:space="0" w:color="auto"/>
              <w:right w:val="single" w:sz="4" w:space="0" w:color="auto"/>
            </w:tcBorders>
            <w:noWrap/>
            <w:vAlign w:val="bottom"/>
            <w:hideMark/>
          </w:tcPr>
          <w:p w14:paraId="3CE839C9"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r w:rsidR="00EC3537" w:rsidRPr="00EC3537" w14:paraId="3B3E6E8D" w14:textId="77777777" w:rsidTr="00EC3537">
        <w:trPr>
          <w:trHeight w:val="435"/>
        </w:trPr>
        <w:tc>
          <w:tcPr>
            <w:tcW w:w="270" w:type="dxa"/>
            <w:tcBorders>
              <w:top w:val="nil"/>
              <w:left w:val="nil"/>
              <w:bottom w:val="nil"/>
              <w:right w:val="nil"/>
            </w:tcBorders>
            <w:noWrap/>
            <w:vAlign w:val="bottom"/>
            <w:hideMark/>
          </w:tcPr>
          <w:p w14:paraId="27AA2F96" w14:textId="77777777" w:rsidR="00EC3537" w:rsidRPr="00EC3537" w:rsidRDefault="00EC3537" w:rsidP="00EC3537">
            <w:pPr>
              <w:spacing w:after="0" w:line="240" w:lineRule="auto"/>
              <w:rPr>
                <w:rFonts w:ascii="Calibri" w:eastAsia="Times New Roman" w:hAnsi="Calibri" w:cs="Calibri"/>
                <w:color w:val="000000"/>
              </w:rPr>
            </w:pPr>
          </w:p>
        </w:tc>
        <w:tc>
          <w:tcPr>
            <w:tcW w:w="3780" w:type="dxa"/>
            <w:tcBorders>
              <w:top w:val="nil"/>
              <w:left w:val="single" w:sz="4" w:space="0" w:color="auto"/>
              <w:bottom w:val="single" w:sz="4" w:space="0" w:color="auto"/>
              <w:right w:val="single" w:sz="4" w:space="0" w:color="auto"/>
            </w:tcBorders>
            <w:noWrap/>
            <w:vAlign w:val="bottom"/>
            <w:hideMark/>
          </w:tcPr>
          <w:p w14:paraId="46F04889" w14:textId="77777777" w:rsidR="00EC3537" w:rsidRPr="00EC3537" w:rsidRDefault="00EC3537" w:rsidP="00EC3537">
            <w:pPr>
              <w:spacing w:after="0" w:line="240" w:lineRule="auto"/>
              <w:rPr>
                <w:rFonts w:ascii="Calibri" w:eastAsia="Times New Roman" w:hAnsi="Calibri" w:cs="Calibri"/>
                <w:b/>
                <w:bCs/>
                <w:color w:val="000000"/>
              </w:rPr>
            </w:pPr>
            <w:r w:rsidRPr="00EC3537">
              <w:rPr>
                <w:rFonts w:ascii="Calibri" w:eastAsia="Times New Roman" w:hAnsi="Calibri" w:cs="Calibri"/>
                <w:b/>
                <w:bCs/>
                <w:color w:val="000000"/>
              </w:rPr>
              <w:t>Other</w:t>
            </w:r>
          </w:p>
        </w:tc>
        <w:tc>
          <w:tcPr>
            <w:tcW w:w="5400" w:type="dxa"/>
            <w:tcBorders>
              <w:top w:val="nil"/>
              <w:left w:val="nil"/>
              <w:bottom w:val="single" w:sz="4" w:space="0" w:color="auto"/>
              <w:right w:val="single" w:sz="4" w:space="0" w:color="auto"/>
            </w:tcBorders>
            <w:noWrap/>
            <w:vAlign w:val="bottom"/>
            <w:hideMark/>
          </w:tcPr>
          <w:p w14:paraId="0B1B8EB5" w14:textId="77777777" w:rsidR="00EC3537" w:rsidRPr="00EC3537" w:rsidRDefault="00EC3537" w:rsidP="00EC3537">
            <w:pPr>
              <w:spacing w:after="0" w:line="240" w:lineRule="auto"/>
              <w:rPr>
                <w:rFonts w:ascii="Calibri" w:eastAsia="Times New Roman" w:hAnsi="Calibri" w:cs="Calibri"/>
                <w:color w:val="000000"/>
              </w:rPr>
            </w:pPr>
            <w:r w:rsidRPr="00EC3537">
              <w:rPr>
                <w:rFonts w:ascii="Calibri" w:eastAsia="Times New Roman" w:hAnsi="Calibri" w:cs="Calibri"/>
                <w:color w:val="000000"/>
              </w:rPr>
              <w:t>$</w:t>
            </w:r>
          </w:p>
        </w:tc>
      </w:tr>
    </w:tbl>
    <w:p w14:paraId="6523E4EC" w14:textId="77777777" w:rsidR="00FE1D32" w:rsidRPr="00500C8D" w:rsidRDefault="00EC3537" w:rsidP="00EC3537">
      <w:pPr>
        <w:jc w:val="center"/>
        <w:rPr>
          <w:rFonts w:ascii="Tahoma" w:hAnsi="Tahoma" w:cs="Tahoma"/>
          <w:b/>
          <w:color w:val="000000" w:themeColor="text1"/>
          <w:sz w:val="28"/>
          <w:szCs w:val="38"/>
        </w:rPr>
      </w:pPr>
      <w:r w:rsidRPr="00500C8D">
        <w:rPr>
          <w:rFonts w:ascii="Tahoma" w:hAnsi="Tahoma" w:cs="Tahoma"/>
          <w:b/>
          <w:color w:val="000000" w:themeColor="text1"/>
          <w:sz w:val="28"/>
          <w:szCs w:val="38"/>
        </w:rPr>
        <w:lastRenderedPageBreak/>
        <w:t>GIOA SAMPLE INVESTMENT POLICY</w:t>
      </w:r>
    </w:p>
    <w:p w14:paraId="2D121970" w14:textId="77777777" w:rsidR="00EC3537" w:rsidRPr="00086CCE" w:rsidRDefault="00E25529" w:rsidP="00EC3537">
      <w:pPr>
        <w:rPr>
          <w:rFonts w:ascii="Tahoma" w:hAnsi="Tahoma" w:cs="Tahoma"/>
          <w:color w:val="FF0000"/>
          <w:sz w:val="20"/>
          <w:szCs w:val="20"/>
        </w:rPr>
      </w:pPr>
      <w:r w:rsidRPr="00086CCE">
        <w:rPr>
          <w:rFonts w:ascii="Tahoma" w:hAnsi="Tahoma" w:cs="Tahoma"/>
          <w:color w:val="FF0000"/>
          <w:sz w:val="20"/>
          <w:szCs w:val="20"/>
        </w:rPr>
        <w:t xml:space="preserve">The following is </w:t>
      </w:r>
      <w:r w:rsidRPr="00086CCE">
        <w:rPr>
          <w:rFonts w:ascii="Tahoma" w:hAnsi="Tahoma" w:cs="Tahoma"/>
          <w:b/>
          <w:bCs/>
          <w:color w:val="FF0000"/>
          <w:sz w:val="20"/>
          <w:szCs w:val="20"/>
          <w:u w:val="single"/>
        </w:rPr>
        <w:t>sample language</w:t>
      </w:r>
      <w:r w:rsidRPr="00086CCE">
        <w:rPr>
          <w:rFonts w:ascii="Tahoma" w:hAnsi="Tahoma" w:cs="Tahoma"/>
          <w:color w:val="FF0000"/>
          <w:sz w:val="20"/>
          <w:szCs w:val="20"/>
        </w:rPr>
        <w:t xml:space="preserve"> for an investment policy.  An entity’s investment policy will vary depending on specific circumstances of that entity. </w:t>
      </w:r>
      <w:r w:rsidR="00A322FB">
        <w:rPr>
          <w:rFonts w:ascii="Tahoma" w:hAnsi="Tahoma" w:cs="Tahoma"/>
          <w:color w:val="FF0000"/>
          <w:sz w:val="20"/>
          <w:szCs w:val="20"/>
        </w:rPr>
        <w:t xml:space="preserve"> The ordering of policy items should conform to the entity’s preferences, and some items may not be applicable.  </w:t>
      </w:r>
    </w:p>
    <w:p w14:paraId="2A66A027" w14:textId="77777777" w:rsidR="00951085" w:rsidRPr="00951085" w:rsidRDefault="00951085" w:rsidP="00EC3537">
      <w:pPr>
        <w:rPr>
          <w:rFonts w:ascii="Tahoma" w:hAnsi="Tahoma" w:cs="Tahoma"/>
          <w:b/>
          <w:bCs/>
          <w:color w:val="000000" w:themeColor="text1"/>
          <w:sz w:val="8"/>
          <w:szCs w:val="8"/>
        </w:rPr>
      </w:pPr>
    </w:p>
    <w:p w14:paraId="3E1AB011" w14:textId="77777777" w:rsidR="00E25529" w:rsidRPr="00500C8D" w:rsidRDefault="00880848" w:rsidP="00EC3537">
      <w:pPr>
        <w:rPr>
          <w:rFonts w:ascii="Tahoma" w:hAnsi="Tahoma" w:cs="Tahoma"/>
          <w:bCs/>
          <w:color w:val="000000" w:themeColor="text1"/>
          <w:sz w:val="20"/>
          <w:szCs w:val="20"/>
        </w:rPr>
      </w:pPr>
      <w:r w:rsidRPr="00500C8D">
        <w:rPr>
          <w:rFonts w:ascii="Tahoma" w:hAnsi="Tahoma" w:cs="Tahoma"/>
          <w:b/>
          <w:bCs/>
          <w:color w:val="000000" w:themeColor="text1"/>
          <w:sz w:val="20"/>
          <w:szCs w:val="20"/>
        </w:rPr>
        <w:t>Cover Page</w:t>
      </w:r>
      <w:r w:rsidR="006F121E" w:rsidRPr="00500C8D">
        <w:rPr>
          <w:rFonts w:ascii="Tahoma" w:hAnsi="Tahoma" w:cs="Tahoma"/>
          <w:color w:val="000000" w:themeColor="text1"/>
          <w:sz w:val="20"/>
          <w:szCs w:val="20"/>
        </w:rPr>
        <w:t xml:space="preserve">: </w:t>
      </w:r>
      <w:r w:rsidR="006F121E" w:rsidRPr="00500C8D">
        <w:rPr>
          <w:rFonts w:ascii="Tahoma" w:hAnsi="Tahoma" w:cs="Tahoma"/>
          <w:bCs/>
          <w:color w:val="000000" w:themeColor="text1"/>
          <w:sz w:val="20"/>
          <w:szCs w:val="20"/>
        </w:rPr>
        <w:t>Name of entity, date, etc.</w:t>
      </w:r>
    </w:p>
    <w:p w14:paraId="20E142FC" w14:textId="77777777" w:rsidR="00880848" w:rsidRPr="00921B1E" w:rsidRDefault="00921B1E" w:rsidP="00921B1E">
      <w:pPr>
        <w:spacing w:line="240" w:lineRule="auto"/>
        <w:jc w:val="both"/>
        <w:rPr>
          <w:rFonts w:ascii="Tahoma" w:hAnsi="Tahoma" w:cs="Tahoma"/>
          <w:color w:val="000000" w:themeColor="text1"/>
          <w:sz w:val="20"/>
          <w:szCs w:val="38"/>
        </w:rPr>
      </w:pPr>
      <w:r>
        <w:rPr>
          <w:rFonts w:ascii="Tahoma" w:hAnsi="Tahoma" w:cs="Tahoma"/>
          <w:b/>
          <w:color w:val="000000" w:themeColor="text1"/>
          <w:sz w:val="20"/>
          <w:szCs w:val="38"/>
        </w:rPr>
        <w:t xml:space="preserve">1.  </w:t>
      </w:r>
      <w:r w:rsidR="00880848" w:rsidRPr="00921B1E">
        <w:rPr>
          <w:rFonts w:ascii="Tahoma" w:hAnsi="Tahoma" w:cs="Tahoma"/>
          <w:b/>
          <w:color w:val="000000" w:themeColor="text1"/>
          <w:sz w:val="20"/>
          <w:szCs w:val="38"/>
        </w:rPr>
        <w:t>Table of Contents</w:t>
      </w:r>
      <w:r w:rsidR="006F121E" w:rsidRPr="00921B1E">
        <w:rPr>
          <w:rFonts w:ascii="Tahoma" w:hAnsi="Tahoma" w:cs="Tahoma"/>
          <w:b/>
          <w:color w:val="000000" w:themeColor="text1"/>
          <w:sz w:val="20"/>
          <w:szCs w:val="38"/>
        </w:rPr>
        <w:t xml:space="preserve">: </w:t>
      </w:r>
      <w:r w:rsidR="006F121E" w:rsidRPr="00921B1E">
        <w:rPr>
          <w:rFonts w:ascii="Tahoma" w:hAnsi="Tahoma" w:cs="Tahoma"/>
          <w:color w:val="000000" w:themeColor="text1"/>
          <w:sz w:val="20"/>
          <w:szCs w:val="38"/>
        </w:rPr>
        <w:t>Full listing of all sections, with page numbers</w:t>
      </w:r>
      <w:r w:rsidR="00AE50EA">
        <w:rPr>
          <w:rFonts w:ascii="Tahoma" w:hAnsi="Tahoma" w:cs="Tahoma"/>
          <w:color w:val="000000" w:themeColor="text1"/>
          <w:sz w:val="20"/>
          <w:szCs w:val="38"/>
        </w:rPr>
        <w:t>.</w:t>
      </w:r>
    </w:p>
    <w:p w14:paraId="7CD389F8" w14:textId="77777777" w:rsidR="005C0197" w:rsidRPr="00921B1E" w:rsidRDefault="00921B1E" w:rsidP="00921B1E">
      <w:pPr>
        <w:spacing w:line="240" w:lineRule="auto"/>
        <w:jc w:val="both"/>
        <w:rPr>
          <w:rFonts w:ascii="Tahoma" w:hAnsi="Tahoma" w:cs="Tahoma"/>
          <w:b/>
          <w:color w:val="000000" w:themeColor="text1"/>
          <w:sz w:val="20"/>
          <w:szCs w:val="38"/>
        </w:rPr>
      </w:pPr>
      <w:r w:rsidRPr="00921B1E">
        <w:rPr>
          <w:rFonts w:ascii="Tahoma" w:hAnsi="Tahoma" w:cs="Tahoma"/>
          <w:b/>
          <w:color w:val="000000" w:themeColor="text1"/>
          <w:sz w:val="20"/>
          <w:szCs w:val="38"/>
        </w:rPr>
        <w:t>2.</w:t>
      </w:r>
      <w:r>
        <w:rPr>
          <w:rFonts w:ascii="Tahoma" w:hAnsi="Tahoma" w:cs="Tahoma"/>
          <w:b/>
          <w:color w:val="000000" w:themeColor="text1"/>
          <w:sz w:val="20"/>
          <w:szCs w:val="38"/>
        </w:rPr>
        <w:t xml:space="preserve">  </w:t>
      </w:r>
      <w:r w:rsidR="005C0197" w:rsidRPr="00921B1E">
        <w:rPr>
          <w:rFonts w:ascii="Tahoma" w:hAnsi="Tahoma" w:cs="Tahoma"/>
          <w:b/>
          <w:color w:val="000000" w:themeColor="text1"/>
          <w:sz w:val="20"/>
          <w:szCs w:val="38"/>
        </w:rPr>
        <w:t>Introduction and Overview</w:t>
      </w:r>
    </w:p>
    <w:p w14:paraId="5A60F9C9" w14:textId="77777777" w:rsidR="005C0197" w:rsidRPr="00500C8D" w:rsidRDefault="005C0197" w:rsidP="00407835">
      <w:pPr>
        <w:spacing w:line="240" w:lineRule="auto"/>
        <w:contextualSpacing/>
        <w:jc w:val="both"/>
        <w:rPr>
          <w:rFonts w:ascii="Tahoma" w:hAnsi="Tahoma" w:cs="Tahoma"/>
          <w:color w:val="000000" w:themeColor="text1"/>
          <w:sz w:val="20"/>
          <w:szCs w:val="38"/>
        </w:rPr>
      </w:pPr>
      <w:r w:rsidRPr="00500C8D">
        <w:rPr>
          <w:rFonts w:ascii="Tahoma" w:hAnsi="Tahoma" w:cs="Tahoma"/>
          <w:color w:val="000000" w:themeColor="text1"/>
          <w:sz w:val="20"/>
          <w:szCs w:val="38"/>
        </w:rPr>
        <w:t>Provide a description of the entity</w:t>
      </w:r>
      <w:r w:rsidR="00673E22" w:rsidRPr="00500C8D">
        <w:rPr>
          <w:rFonts w:ascii="Tahoma" w:hAnsi="Tahoma" w:cs="Tahoma"/>
          <w:color w:val="000000" w:themeColor="text1"/>
          <w:sz w:val="20"/>
          <w:szCs w:val="38"/>
        </w:rPr>
        <w:t xml:space="preserve"> [city, county, district, etc.]</w:t>
      </w:r>
      <w:r w:rsidRPr="00500C8D">
        <w:rPr>
          <w:rFonts w:ascii="Tahoma" w:hAnsi="Tahoma" w:cs="Tahoma"/>
          <w:color w:val="000000" w:themeColor="text1"/>
          <w:sz w:val="20"/>
          <w:szCs w:val="38"/>
        </w:rPr>
        <w:t xml:space="preserve">, such as organizational date, geographical information, population information, etc. </w:t>
      </w:r>
    </w:p>
    <w:p w14:paraId="555B7640" w14:textId="77777777" w:rsidR="005C0197" w:rsidRPr="00500C8D" w:rsidRDefault="005C0197" w:rsidP="00407835">
      <w:pPr>
        <w:spacing w:line="240" w:lineRule="auto"/>
        <w:contextualSpacing/>
        <w:jc w:val="both"/>
        <w:rPr>
          <w:rFonts w:ascii="Tahoma" w:hAnsi="Tahoma" w:cs="Tahoma"/>
          <w:color w:val="000000" w:themeColor="text1"/>
          <w:sz w:val="20"/>
          <w:szCs w:val="38"/>
        </w:rPr>
      </w:pPr>
    </w:p>
    <w:p w14:paraId="30D4541C" w14:textId="77777777" w:rsidR="005C0197" w:rsidRPr="00500C8D" w:rsidRDefault="00921B1E" w:rsidP="00407835">
      <w:pPr>
        <w:spacing w:line="240" w:lineRule="auto"/>
        <w:contextualSpacing/>
        <w:jc w:val="both"/>
        <w:rPr>
          <w:rFonts w:ascii="Tahoma" w:hAnsi="Tahoma" w:cs="Tahoma"/>
          <w:b/>
          <w:color w:val="000000" w:themeColor="text1"/>
          <w:sz w:val="20"/>
          <w:szCs w:val="38"/>
        </w:rPr>
      </w:pPr>
      <w:r>
        <w:rPr>
          <w:rFonts w:ascii="Tahoma" w:hAnsi="Tahoma" w:cs="Tahoma"/>
          <w:b/>
          <w:color w:val="000000" w:themeColor="text1"/>
          <w:sz w:val="20"/>
          <w:szCs w:val="38"/>
        </w:rPr>
        <w:t xml:space="preserve">3.  </w:t>
      </w:r>
      <w:r w:rsidR="005C0197" w:rsidRPr="00500C8D">
        <w:rPr>
          <w:rFonts w:ascii="Tahoma" w:hAnsi="Tahoma" w:cs="Tahoma"/>
          <w:b/>
          <w:color w:val="000000" w:themeColor="text1"/>
          <w:sz w:val="20"/>
          <w:szCs w:val="38"/>
        </w:rPr>
        <w:t>Governing Authority</w:t>
      </w:r>
    </w:p>
    <w:p w14:paraId="5CAB8E5C" w14:textId="77777777" w:rsidR="0002148D" w:rsidRPr="00500C8D" w:rsidRDefault="005C0197" w:rsidP="00407835">
      <w:pPr>
        <w:spacing w:line="240" w:lineRule="auto"/>
        <w:contextualSpacing/>
        <w:jc w:val="both"/>
        <w:rPr>
          <w:rFonts w:ascii="Tahoma" w:hAnsi="Tahoma" w:cs="Tahoma"/>
          <w:color w:val="000000" w:themeColor="text1"/>
          <w:sz w:val="20"/>
          <w:szCs w:val="38"/>
        </w:rPr>
      </w:pPr>
      <w:r w:rsidRPr="00500C8D">
        <w:rPr>
          <w:rFonts w:ascii="Tahoma" w:hAnsi="Tahoma" w:cs="Tahoma"/>
          <w:color w:val="000000" w:themeColor="text1"/>
          <w:sz w:val="20"/>
          <w:szCs w:val="38"/>
        </w:rPr>
        <w:t xml:space="preserve">The </w:t>
      </w:r>
      <w:r w:rsidR="0002148D" w:rsidRPr="00500C8D">
        <w:rPr>
          <w:rFonts w:ascii="Tahoma" w:hAnsi="Tahoma" w:cs="Tahoma"/>
          <w:color w:val="000000" w:themeColor="text1"/>
          <w:sz w:val="20"/>
          <w:szCs w:val="38"/>
        </w:rPr>
        <w:t>[</w:t>
      </w:r>
      <w:r w:rsidR="00880848" w:rsidRPr="00500C8D">
        <w:rPr>
          <w:rFonts w:ascii="Tahoma" w:hAnsi="Tahoma" w:cs="Tahoma"/>
          <w:color w:val="000000" w:themeColor="text1"/>
          <w:sz w:val="20"/>
          <w:szCs w:val="38"/>
        </w:rPr>
        <w:t xml:space="preserve">governing body: </w:t>
      </w:r>
      <w:r w:rsidRPr="00500C8D">
        <w:rPr>
          <w:rFonts w:ascii="Tahoma" w:hAnsi="Tahoma" w:cs="Tahoma"/>
          <w:color w:val="000000" w:themeColor="text1"/>
          <w:sz w:val="20"/>
          <w:szCs w:val="38"/>
        </w:rPr>
        <w:t xml:space="preserve">city council, board, </w:t>
      </w:r>
      <w:r w:rsidR="00880848" w:rsidRPr="00500C8D">
        <w:rPr>
          <w:rFonts w:ascii="Tahoma" w:hAnsi="Tahoma" w:cs="Tahoma"/>
          <w:color w:val="000000" w:themeColor="text1"/>
          <w:sz w:val="20"/>
          <w:szCs w:val="38"/>
        </w:rPr>
        <w:t xml:space="preserve">commission, </w:t>
      </w:r>
      <w:r w:rsidRPr="00500C8D">
        <w:rPr>
          <w:rFonts w:ascii="Tahoma" w:hAnsi="Tahoma" w:cs="Tahoma"/>
          <w:color w:val="000000" w:themeColor="text1"/>
          <w:sz w:val="20"/>
          <w:szCs w:val="38"/>
        </w:rPr>
        <w:t>etc.</w:t>
      </w:r>
      <w:r w:rsidR="0002148D" w:rsidRPr="00500C8D">
        <w:rPr>
          <w:rFonts w:ascii="Tahoma" w:hAnsi="Tahoma" w:cs="Tahoma"/>
          <w:color w:val="000000" w:themeColor="text1"/>
          <w:sz w:val="20"/>
          <w:szCs w:val="38"/>
        </w:rPr>
        <w:t>]</w:t>
      </w:r>
      <w:r w:rsidRPr="00500C8D">
        <w:rPr>
          <w:rFonts w:ascii="Tahoma" w:hAnsi="Tahoma" w:cs="Tahoma"/>
          <w:color w:val="000000" w:themeColor="text1"/>
          <w:sz w:val="20"/>
          <w:szCs w:val="38"/>
        </w:rPr>
        <w:t xml:space="preserve"> is the governing body of the entity.  Provide information such how many </w:t>
      </w:r>
      <w:r w:rsidR="0002148D" w:rsidRPr="00500C8D">
        <w:rPr>
          <w:rFonts w:ascii="Tahoma" w:hAnsi="Tahoma" w:cs="Tahoma"/>
          <w:color w:val="000000" w:themeColor="text1"/>
          <w:sz w:val="20"/>
          <w:szCs w:val="38"/>
        </w:rPr>
        <w:t>members serve on the govern body, what are their terms, what is the jurisdiction of the governing body.</w:t>
      </w:r>
    </w:p>
    <w:p w14:paraId="3C81579B" w14:textId="77777777" w:rsidR="0002148D" w:rsidRPr="00500C8D" w:rsidRDefault="0002148D" w:rsidP="00407835">
      <w:pPr>
        <w:spacing w:line="240" w:lineRule="auto"/>
        <w:contextualSpacing/>
        <w:jc w:val="both"/>
        <w:rPr>
          <w:rFonts w:ascii="Tahoma" w:hAnsi="Tahoma" w:cs="Tahoma"/>
          <w:color w:val="000000" w:themeColor="text1"/>
          <w:sz w:val="20"/>
          <w:szCs w:val="38"/>
        </w:rPr>
      </w:pPr>
    </w:p>
    <w:p w14:paraId="490ABCA2" w14:textId="77777777" w:rsidR="0002148D" w:rsidRPr="00500C8D" w:rsidRDefault="00921B1E" w:rsidP="00407835">
      <w:pPr>
        <w:spacing w:line="240" w:lineRule="auto"/>
        <w:contextualSpacing/>
        <w:jc w:val="both"/>
        <w:rPr>
          <w:rFonts w:ascii="Tahoma" w:hAnsi="Tahoma" w:cs="Tahoma"/>
          <w:b/>
          <w:color w:val="000000" w:themeColor="text1"/>
          <w:sz w:val="20"/>
          <w:szCs w:val="38"/>
        </w:rPr>
      </w:pPr>
      <w:r>
        <w:rPr>
          <w:rFonts w:ascii="Tahoma" w:hAnsi="Tahoma" w:cs="Tahoma"/>
          <w:b/>
          <w:color w:val="000000" w:themeColor="text1"/>
          <w:sz w:val="20"/>
          <w:szCs w:val="38"/>
        </w:rPr>
        <w:t xml:space="preserve">4.  </w:t>
      </w:r>
      <w:r w:rsidR="0002148D" w:rsidRPr="00500C8D">
        <w:rPr>
          <w:rFonts w:ascii="Tahoma" w:hAnsi="Tahoma" w:cs="Tahoma"/>
          <w:b/>
          <w:color w:val="000000" w:themeColor="text1"/>
          <w:sz w:val="20"/>
          <w:szCs w:val="38"/>
        </w:rPr>
        <w:t>Delegation of Authority and Investment Responsibility</w:t>
      </w:r>
    </w:p>
    <w:p w14:paraId="3BF37F33" w14:textId="77777777" w:rsidR="005C0197" w:rsidRPr="00500C8D" w:rsidRDefault="0002148D" w:rsidP="00407835">
      <w:pPr>
        <w:spacing w:line="240" w:lineRule="auto"/>
        <w:contextualSpacing/>
        <w:jc w:val="both"/>
        <w:rPr>
          <w:rFonts w:ascii="Tahoma" w:hAnsi="Tahoma" w:cs="Tahoma"/>
          <w:color w:val="000000" w:themeColor="text1"/>
          <w:sz w:val="20"/>
          <w:szCs w:val="38"/>
        </w:rPr>
      </w:pPr>
      <w:r w:rsidRPr="00500C8D">
        <w:rPr>
          <w:rFonts w:ascii="Tahoma" w:hAnsi="Tahoma" w:cs="Tahoma"/>
          <w:color w:val="000000" w:themeColor="text1"/>
          <w:sz w:val="20"/>
          <w:szCs w:val="38"/>
        </w:rPr>
        <w:t xml:space="preserve">Under authority delegated by the [governing body], in accordance with </w:t>
      </w:r>
      <w:bookmarkStart w:id="0" w:name="_Hlk17290527"/>
      <w:r w:rsidRPr="00500C8D">
        <w:rPr>
          <w:rFonts w:ascii="Tahoma" w:hAnsi="Tahoma" w:cs="Tahoma"/>
          <w:color w:val="000000" w:themeColor="text1"/>
          <w:sz w:val="20"/>
          <w:szCs w:val="38"/>
        </w:rPr>
        <w:t>[state law, etc.],</w:t>
      </w:r>
      <w:bookmarkEnd w:id="0"/>
      <w:r w:rsidRPr="00500C8D">
        <w:rPr>
          <w:rFonts w:ascii="Tahoma" w:hAnsi="Tahoma" w:cs="Tahoma"/>
          <w:color w:val="000000" w:themeColor="text1"/>
          <w:sz w:val="20"/>
          <w:szCs w:val="38"/>
        </w:rPr>
        <w:t xml:space="preserve"> the investment of [entity’s] funds is the responsibility of the [designated official</w:t>
      </w:r>
      <w:r w:rsidR="00673E22" w:rsidRPr="00500C8D">
        <w:rPr>
          <w:rFonts w:ascii="Tahoma" w:hAnsi="Tahoma" w:cs="Tahoma"/>
          <w:color w:val="000000" w:themeColor="text1"/>
          <w:sz w:val="20"/>
          <w:szCs w:val="38"/>
        </w:rPr>
        <w:t xml:space="preserve">: </w:t>
      </w:r>
      <w:r w:rsidRPr="00500C8D">
        <w:rPr>
          <w:rFonts w:ascii="Tahoma" w:hAnsi="Tahoma" w:cs="Tahoma"/>
          <w:color w:val="000000" w:themeColor="text1"/>
          <w:sz w:val="20"/>
          <w:szCs w:val="38"/>
        </w:rPr>
        <w:t>treasurer</w:t>
      </w:r>
      <w:r w:rsidR="00673E22" w:rsidRPr="00500C8D">
        <w:rPr>
          <w:rFonts w:ascii="Tahoma" w:hAnsi="Tahoma" w:cs="Tahoma"/>
          <w:color w:val="000000" w:themeColor="text1"/>
          <w:sz w:val="20"/>
          <w:szCs w:val="38"/>
        </w:rPr>
        <w:t>,</w:t>
      </w:r>
      <w:r w:rsidRPr="00500C8D">
        <w:rPr>
          <w:rFonts w:ascii="Tahoma" w:hAnsi="Tahoma" w:cs="Tahoma"/>
          <w:color w:val="000000" w:themeColor="text1"/>
          <w:sz w:val="20"/>
          <w:szCs w:val="38"/>
        </w:rPr>
        <w:t xml:space="preserve"> finance director</w:t>
      </w:r>
      <w:r w:rsidR="00673E22" w:rsidRPr="00500C8D">
        <w:rPr>
          <w:rFonts w:ascii="Tahoma" w:hAnsi="Tahoma" w:cs="Tahoma"/>
          <w:color w:val="000000" w:themeColor="text1"/>
          <w:sz w:val="20"/>
          <w:szCs w:val="38"/>
        </w:rPr>
        <w:t>, etc.</w:t>
      </w:r>
      <w:r w:rsidRPr="00500C8D">
        <w:rPr>
          <w:rFonts w:ascii="Tahoma" w:hAnsi="Tahoma" w:cs="Tahoma"/>
          <w:color w:val="000000" w:themeColor="text1"/>
          <w:sz w:val="20"/>
          <w:szCs w:val="38"/>
        </w:rPr>
        <w:t xml:space="preserve">].  As such, all </w:t>
      </w:r>
      <w:r w:rsidR="004929F9">
        <w:rPr>
          <w:rFonts w:ascii="Tahoma" w:hAnsi="Tahoma" w:cs="Tahoma"/>
          <w:color w:val="000000" w:themeColor="text1"/>
          <w:sz w:val="20"/>
          <w:szCs w:val="38"/>
        </w:rPr>
        <w:t xml:space="preserve">funds covered under this Policy </w:t>
      </w:r>
      <w:r w:rsidRPr="00500C8D">
        <w:rPr>
          <w:rFonts w:ascii="Tahoma" w:hAnsi="Tahoma" w:cs="Tahoma"/>
          <w:color w:val="000000" w:themeColor="text1"/>
          <w:sz w:val="20"/>
          <w:szCs w:val="38"/>
        </w:rPr>
        <w:t>will be invested by the [designated official</w:t>
      </w:r>
      <w:r w:rsidR="00673E22" w:rsidRPr="00500C8D">
        <w:rPr>
          <w:rFonts w:ascii="Tahoma" w:hAnsi="Tahoma" w:cs="Tahoma"/>
          <w:color w:val="000000" w:themeColor="text1"/>
          <w:sz w:val="20"/>
          <w:szCs w:val="38"/>
        </w:rPr>
        <w:t>]</w:t>
      </w:r>
      <w:r w:rsidRPr="00500C8D">
        <w:rPr>
          <w:rFonts w:ascii="Tahoma" w:hAnsi="Tahoma" w:cs="Tahoma"/>
          <w:color w:val="000000" w:themeColor="text1"/>
          <w:sz w:val="20"/>
          <w:szCs w:val="38"/>
        </w:rPr>
        <w:t>, and authorized investment advisors</w:t>
      </w:r>
      <w:r w:rsidR="007A7CBB">
        <w:rPr>
          <w:rFonts w:ascii="Tahoma" w:hAnsi="Tahoma" w:cs="Tahoma"/>
          <w:color w:val="000000" w:themeColor="text1"/>
          <w:sz w:val="20"/>
          <w:szCs w:val="38"/>
        </w:rPr>
        <w:t xml:space="preserve"> (if applicable)</w:t>
      </w:r>
      <w:r w:rsidRPr="00500C8D">
        <w:rPr>
          <w:rFonts w:ascii="Tahoma" w:hAnsi="Tahoma" w:cs="Tahoma"/>
          <w:color w:val="000000" w:themeColor="text1"/>
          <w:sz w:val="20"/>
          <w:szCs w:val="38"/>
        </w:rPr>
        <w:t xml:space="preserve">. </w:t>
      </w:r>
      <w:r w:rsidR="005C0197" w:rsidRPr="00500C8D">
        <w:rPr>
          <w:rFonts w:ascii="Tahoma" w:hAnsi="Tahoma" w:cs="Tahoma"/>
          <w:color w:val="000000" w:themeColor="text1"/>
          <w:sz w:val="20"/>
          <w:szCs w:val="38"/>
        </w:rPr>
        <w:t xml:space="preserve"> </w:t>
      </w:r>
    </w:p>
    <w:p w14:paraId="07639408" w14:textId="77777777" w:rsidR="0002148D" w:rsidRPr="00500C8D" w:rsidRDefault="0002148D" w:rsidP="00407835">
      <w:pPr>
        <w:spacing w:line="240" w:lineRule="auto"/>
        <w:contextualSpacing/>
        <w:jc w:val="both"/>
        <w:rPr>
          <w:rFonts w:ascii="Tahoma" w:hAnsi="Tahoma" w:cs="Tahoma"/>
          <w:color w:val="000000" w:themeColor="text1"/>
          <w:sz w:val="20"/>
          <w:szCs w:val="38"/>
        </w:rPr>
      </w:pPr>
    </w:p>
    <w:p w14:paraId="1232BBD8" w14:textId="77777777" w:rsidR="0002148D" w:rsidRPr="00500C8D" w:rsidRDefault="004929F9" w:rsidP="00407835">
      <w:pPr>
        <w:spacing w:line="240" w:lineRule="auto"/>
        <w:contextualSpacing/>
        <w:jc w:val="both"/>
        <w:rPr>
          <w:rFonts w:ascii="Tahoma" w:hAnsi="Tahoma" w:cs="Tahoma"/>
          <w:color w:val="000000" w:themeColor="text1"/>
          <w:sz w:val="20"/>
          <w:szCs w:val="38"/>
        </w:rPr>
      </w:pPr>
      <w:r>
        <w:rPr>
          <w:rFonts w:ascii="Tahoma" w:hAnsi="Tahoma" w:cs="Tahoma"/>
          <w:color w:val="000000" w:themeColor="text1"/>
          <w:sz w:val="20"/>
          <w:szCs w:val="38"/>
        </w:rPr>
        <w:t>The [designated official</w:t>
      </w:r>
      <w:r w:rsidR="0002148D" w:rsidRPr="00500C8D">
        <w:rPr>
          <w:rFonts w:ascii="Tahoma" w:hAnsi="Tahoma" w:cs="Tahoma"/>
          <w:color w:val="000000" w:themeColor="text1"/>
          <w:sz w:val="20"/>
          <w:szCs w:val="38"/>
        </w:rPr>
        <w:t>]</w:t>
      </w:r>
      <w:r>
        <w:rPr>
          <w:rFonts w:ascii="Tahoma" w:hAnsi="Tahoma" w:cs="Tahoma"/>
          <w:color w:val="000000" w:themeColor="text1"/>
          <w:sz w:val="20"/>
          <w:szCs w:val="38"/>
        </w:rPr>
        <w:t>’s</w:t>
      </w:r>
      <w:r w:rsidR="0002148D" w:rsidRPr="00500C8D">
        <w:rPr>
          <w:rFonts w:ascii="Tahoma" w:hAnsi="Tahoma" w:cs="Tahoma"/>
          <w:color w:val="000000" w:themeColor="text1"/>
          <w:sz w:val="20"/>
          <w:szCs w:val="38"/>
        </w:rPr>
        <w:t xml:space="preserve"> responsibilities include the authority to conduct business with financial institutions and broker/dealers, to arrange for the custody of securities, and to execute such documents as may be necessary to carry out these responsibilities</w:t>
      </w:r>
      <w:r w:rsidR="00231EDC">
        <w:rPr>
          <w:rFonts w:ascii="Tahoma" w:hAnsi="Tahoma" w:cs="Tahoma"/>
          <w:color w:val="000000" w:themeColor="text1"/>
          <w:sz w:val="20"/>
          <w:szCs w:val="38"/>
        </w:rPr>
        <w:t xml:space="preserve"> in compliance with this policy</w:t>
      </w:r>
      <w:r w:rsidR="0002148D" w:rsidRPr="00500C8D">
        <w:rPr>
          <w:rFonts w:ascii="Tahoma" w:hAnsi="Tahoma" w:cs="Tahoma"/>
          <w:color w:val="000000" w:themeColor="text1"/>
          <w:sz w:val="20"/>
          <w:szCs w:val="38"/>
        </w:rPr>
        <w:t>. The [designated official] or authorized investment managers are also responsible for furnishing authentic, timely instructions to the safekeeping bank(s) concerning settlement of investment transactions, and verifying accuracy of completed transactions.</w:t>
      </w:r>
    </w:p>
    <w:p w14:paraId="3F5D0524" w14:textId="77777777" w:rsidR="0002148D" w:rsidRPr="00500C8D" w:rsidRDefault="0002148D" w:rsidP="00407835">
      <w:pPr>
        <w:spacing w:line="240" w:lineRule="auto"/>
        <w:contextualSpacing/>
        <w:jc w:val="both"/>
        <w:rPr>
          <w:rFonts w:ascii="Tahoma" w:hAnsi="Tahoma" w:cs="Tahoma"/>
          <w:color w:val="000000" w:themeColor="text1"/>
          <w:sz w:val="20"/>
          <w:szCs w:val="38"/>
        </w:rPr>
      </w:pPr>
    </w:p>
    <w:p w14:paraId="6E9B0E57" w14:textId="77777777" w:rsidR="0002148D" w:rsidRPr="00500C8D" w:rsidRDefault="0002148D" w:rsidP="00407835">
      <w:pPr>
        <w:spacing w:line="240" w:lineRule="auto"/>
        <w:contextualSpacing/>
        <w:jc w:val="both"/>
        <w:rPr>
          <w:rFonts w:ascii="Tahoma" w:hAnsi="Tahoma" w:cs="Tahoma"/>
          <w:color w:val="000000" w:themeColor="text1"/>
          <w:sz w:val="20"/>
          <w:szCs w:val="38"/>
        </w:rPr>
      </w:pPr>
      <w:r w:rsidRPr="00500C8D">
        <w:rPr>
          <w:rFonts w:ascii="Tahoma" w:hAnsi="Tahoma" w:cs="Tahoma"/>
          <w:color w:val="000000" w:themeColor="text1"/>
          <w:sz w:val="20"/>
          <w:szCs w:val="38"/>
        </w:rPr>
        <w:t>The [governing body] may also enter into an agreement with an investment advisor for investment management/advisory services, and the investment advisor will operate under the direction of the [designated official].</w:t>
      </w:r>
    </w:p>
    <w:p w14:paraId="4D821EC2" w14:textId="77777777" w:rsidR="00880848" w:rsidRPr="00500C8D" w:rsidRDefault="00880848" w:rsidP="00407835">
      <w:pPr>
        <w:spacing w:line="240" w:lineRule="auto"/>
        <w:contextualSpacing/>
        <w:jc w:val="both"/>
        <w:rPr>
          <w:rFonts w:ascii="Tahoma" w:hAnsi="Tahoma" w:cs="Tahoma"/>
          <w:color w:val="000000" w:themeColor="text1"/>
          <w:sz w:val="20"/>
          <w:szCs w:val="38"/>
        </w:rPr>
      </w:pPr>
    </w:p>
    <w:p w14:paraId="13E2DBC2" w14:textId="77777777" w:rsidR="00880848" w:rsidRPr="00500C8D" w:rsidRDefault="00921B1E" w:rsidP="00880848">
      <w:pPr>
        <w:spacing w:line="240" w:lineRule="auto"/>
        <w:contextualSpacing/>
        <w:jc w:val="both"/>
        <w:rPr>
          <w:rFonts w:ascii="Tahoma" w:hAnsi="Tahoma" w:cs="Tahoma"/>
          <w:b/>
          <w:color w:val="000000" w:themeColor="text1"/>
          <w:sz w:val="20"/>
          <w:szCs w:val="38"/>
        </w:rPr>
      </w:pPr>
      <w:r>
        <w:rPr>
          <w:rFonts w:ascii="Tahoma" w:hAnsi="Tahoma" w:cs="Tahoma"/>
          <w:b/>
          <w:color w:val="000000" w:themeColor="text1"/>
          <w:sz w:val="20"/>
          <w:szCs w:val="38"/>
        </w:rPr>
        <w:t xml:space="preserve">5.  </w:t>
      </w:r>
      <w:r w:rsidR="00880848" w:rsidRPr="00500C8D">
        <w:rPr>
          <w:rFonts w:ascii="Tahoma" w:hAnsi="Tahoma" w:cs="Tahoma"/>
          <w:b/>
          <w:color w:val="000000" w:themeColor="text1"/>
          <w:sz w:val="20"/>
          <w:szCs w:val="38"/>
        </w:rPr>
        <w:t xml:space="preserve">Investment Program Oversight Committee (IPOC) and Investment Program Review </w:t>
      </w:r>
    </w:p>
    <w:p w14:paraId="01156ECF" w14:textId="47778B5B" w:rsidR="00880848" w:rsidRPr="00500C8D" w:rsidRDefault="00880848" w:rsidP="00880848">
      <w:pPr>
        <w:tabs>
          <w:tab w:val="left" w:pos="720"/>
        </w:tabs>
        <w:jc w:val="both"/>
        <w:rPr>
          <w:rFonts w:ascii="Tahoma" w:hAnsi="Tahoma" w:cs="Tahoma"/>
          <w:color w:val="000000" w:themeColor="text1"/>
          <w:sz w:val="20"/>
          <w:szCs w:val="38"/>
        </w:rPr>
      </w:pPr>
      <w:r w:rsidRPr="00500C8D">
        <w:rPr>
          <w:rFonts w:ascii="Tahoma" w:hAnsi="Tahoma" w:cs="Tahoma"/>
          <w:color w:val="000000" w:themeColor="text1"/>
          <w:sz w:val="20"/>
          <w:szCs w:val="38"/>
        </w:rPr>
        <w:t>The Investment Program Oversight Committee shall be comprised of the [designated officials].  The IPOC shall meet at least [number] times per fiscal year to review the operations, performance, and compliance of the Investment Program.</w:t>
      </w:r>
      <w:r w:rsidR="004929F9">
        <w:rPr>
          <w:rFonts w:ascii="Tahoma" w:hAnsi="Tahoma" w:cs="Tahoma"/>
          <w:color w:val="000000" w:themeColor="text1"/>
          <w:sz w:val="20"/>
          <w:szCs w:val="38"/>
        </w:rPr>
        <w:t xml:space="preserve">  (Note: Some entities may not have an IPOC</w:t>
      </w:r>
      <w:r w:rsidR="00DE4046">
        <w:rPr>
          <w:rFonts w:ascii="Tahoma" w:hAnsi="Tahoma" w:cs="Tahoma"/>
          <w:color w:val="000000" w:themeColor="text1"/>
          <w:sz w:val="20"/>
          <w:szCs w:val="38"/>
        </w:rPr>
        <w:t xml:space="preserve"> (or similar name)</w:t>
      </w:r>
      <w:r w:rsidR="004929F9">
        <w:rPr>
          <w:rFonts w:ascii="Tahoma" w:hAnsi="Tahoma" w:cs="Tahoma"/>
          <w:color w:val="000000" w:themeColor="text1"/>
          <w:sz w:val="20"/>
          <w:szCs w:val="38"/>
        </w:rPr>
        <w:t>; this is considered a best practice by GIOA).</w:t>
      </w:r>
    </w:p>
    <w:p w14:paraId="2E4899B2" w14:textId="77777777" w:rsidR="00880848" w:rsidRPr="00500C8D" w:rsidRDefault="00921B1E" w:rsidP="00604D5F">
      <w:pPr>
        <w:spacing w:line="240" w:lineRule="auto"/>
        <w:contextualSpacing/>
        <w:jc w:val="both"/>
        <w:rPr>
          <w:rFonts w:ascii="Tahoma" w:hAnsi="Tahoma" w:cs="Tahoma"/>
          <w:b/>
          <w:color w:val="000000" w:themeColor="text1"/>
          <w:sz w:val="20"/>
          <w:szCs w:val="38"/>
        </w:rPr>
      </w:pPr>
      <w:r>
        <w:rPr>
          <w:rFonts w:ascii="Tahoma" w:hAnsi="Tahoma" w:cs="Tahoma"/>
          <w:b/>
          <w:color w:val="000000" w:themeColor="text1"/>
          <w:sz w:val="20"/>
          <w:szCs w:val="38"/>
        </w:rPr>
        <w:t xml:space="preserve">6.  </w:t>
      </w:r>
      <w:r w:rsidR="00880848" w:rsidRPr="00500C8D">
        <w:rPr>
          <w:rFonts w:ascii="Tahoma" w:hAnsi="Tahoma" w:cs="Tahoma"/>
          <w:b/>
          <w:color w:val="000000" w:themeColor="text1"/>
          <w:sz w:val="20"/>
          <w:szCs w:val="38"/>
        </w:rPr>
        <w:t xml:space="preserve">Policy Statement  </w:t>
      </w:r>
    </w:p>
    <w:p w14:paraId="323D18BC" w14:textId="77777777" w:rsidR="00880848" w:rsidRPr="00500C8D" w:rsidRDefault="00880848" w:rsidP="00604D5F">
      <w:pPr>
        <w:spacing w:line="240" w:lineRule="auto"/>
        <w:contextualSpacing/>
        <w:jc w:val="both"/>
        <w:rPr>
          <w:rFonts w:ascii="Tahoma" w:hAnsi="Tahoma" w:cs="Tahoma"/>
          <w:bCs/>
          <w:color w:val="000000" w:themeColor="text1"/>
          <w:sz w:val="20"/>
          <w:szCs w:val="38"/>
        </w:rPr>
      </w:pPr>
      <w:r w:rsidRPr="00500C8D">
        <w:rPr>
          <w:rFonts w:ascii="Tahoma" w:hAnsi="Tahoma" w:cs="Tahoma"/>
          <w:bCs/>
          <w:color w:val="000000" w:themeColor="text1"/>
          <w:sz w:val="20"/>
          <w:szCs w:val="38"/>
        </w:rPr>
        <w:t>The purpose of this Investment Policy is to establish investment guidelines for the [designated official], who is responsible for the stewardship of the [entity’s] Investment Program. Each transaction and the entire portfolio must comply with applicable [state law, etc.] and this Policy. All investment program activities will b</w:t>
      </w:r>
      <w:r w:rsidR="00F65088">
        <w:rPr>
          <w:rFonts w:ascii="Tahoma" w:hAnsi="Tahoma" w:cs="Tahoma"/>
          <w:bCs/>
          <w:color w:val="000000" w:themeColor="text1"/>
          <w:sz w:val="20"/>
          <w:szCs w:val="38"/>
        </w:rPr>
        <w:t>e judged by the standards of this</w:t>
      </w:r>
      <w:r w:rsidRPr="00500C8D">
        <w:rPr>
          <w:rFonts w:ascii="Tahoma" w:hAnsi="Tahoma" w:cs="Tahoma"/>
          <w:bCs/>
          <w:color w:val="000000" w:themeColor="text1"/>
          <w:sz w:val="20"/>
          <w:szCs w:val="38"/>
        </w:rPr>
        <w:t xml:space="preserve"> Policy and ranking of Primary Investment Objectives. Those activit</w:t>
      </w:r>
      <w:r w:rsidR="00F65088">
        <w:rPr>
          <w:rFonts w:ascii="Tahoma" w:hAnsi="Tahoma" w:cs="Tahoma"/>
          <w:bCs/>
          <w:color w:val="000000" w:themeColor="text1"/>
          <w:sz w:val="20"/>
          <w:szCs w:val="38"/>
        </w:rPr>
        <w:t xml:space="preserve">ies that violate its </w:t>
      </w:r>
      <w:r w:rsidRPr="00500C8D">
        <w:rPr>
          <w:rFonts w:ascii="Tahoma" w:hAnsi="Tahoma" w:cs="Tahoma"/>
          <w:bCs/>
          <w:color w:val="000000" w:themeColor="text1"/>
          <w:sz w:val="20"/>
          <w:szCs w:val="38"/>
        </w:rPr>
        <w:t xml:space="preserve">intent will be deemed to be contrary to the Policy. This Policy conforms to </w:t>
      </w:r>
      <w:r w:rsidR="00F65088">
        <w:rPr>
          <w:rFonts w:ascii="Tahoma" w:hAnsi="Tahoma" w:cs="Tahoma"/>
          <w:bCs/>
          <w:color w:val="000000" w:themeColor="text1"/>
          <w:sz w:val="20"/>
          <w:szCs w:val="38"/>
        </w:rPr>
        <w:t xml:space="preserve">the </w:t>
      </w:r>
      <w:r w:rsidRPr="00500C8D">
        <w:rPr>
          <w:rFonts w:ascii="Tahoma" w:hAnsi="Tahoma" w:cs="Tahoma"/>
          <w:bCs/>
          <w:color w:val="000000" w:themeColor="text1"/>
          <w:sz w:val="20"/>
          <w:szCs w:val="38"/>
        </w:rPr>
        <w:t>customary standards of prudent investment management.  Should the provisions of the [state law, etc.] change from those contained herein; such provisions will be considered incorporated in this Policy. This Policy shall remain in effect until the</w:t>
      </w:r>
      <w:r w:rsidR="00604D5F" w:rsidRPr="00500C8D">
        <w:rPr>
          <w:rFonts w:ascii="Tahoma" w:hAnsi="Tahoma" w:cs="Tahoma"/>
          <w:bCs/>
          <w:color w:val="000000" w:themeColor="text1"/>
          <w:sz w:val="20"/>
          <w:szCs w:val="38"/>
        </w:rPr>
        <w:t xml:space="preserve"> [governing body]</w:t>
      </w:r>
      <w:r w:rsidRPr="00500C8D">
        <w:rPr>
          <w:rFonts w:ascii="Tahoma" w:hAnsi="Tahoma" w:cs="Tahoma"/>
          <w:bCs/>
          <w:color w:val="000000" w:themeColor="text1"/>
          <w:sz w:val="20"/>
          <w:szCs w:val="38"/>
        </w:rPr>
        <w:t xml:space="preserve"> approves a subsequent revision.</w:t>
      </w:r>
    </w:p>
    <w:p w14:paraId="6CEAA5D2" w14:textId="77777777" w:rsidR="00880848" w:rsidRPr="00500C8D" w:rsidRDefault="00921B1E" w:rsidP="007D6754">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lastRenderedPageBreak/>
        <w:t xml:space="preserve">7.  </w:t>
      </w:r>
      <w:r w:rsidR="00880848" w:rsidRPr="00500C8D">
        <w:rPr>
          <w:rFonts w:ascii="Tahoma" w:hAnsi="Tahoma" w:cs="Tahoma"/>
          <w:b/>
          <w:bCs/>
          <w:color w:val="000000" w:themeColor="text1"/>
          <w:sz w:val="20"/>
          <w:szCs w:val="16"/>
        </w:rPr>
        <w:t>Scope of the Investment Policy</w:t>
      </w:r>
    </w:p>
    <w:p w14:paraId="00E8505B" w14:textId="77777777" w:rsidR="00880848" w:rsidRPr="00500C8D" w:rsidRDefault="00880848" w:rsidP="007D6754">
      <w:pPr>
        <w:pStyle w:val="NoSpacing"/>
        <w:ind w:left="0"/>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This policy applies to al</w:t>
      </w:r>
      <w:r w:rsidR="00231EDC">
        <w:rPr>
          <w:rFonts w:ascii="Tahoma" w:eastAsia="Arial" w:hAnsi="Tahoma" w:cs="Tahoma"/>
          <w:color w:val="000000" w:themeColor="text1"/>
          <w:spacing w:val="-1"/>
          <w:sz w:val="20"/>
          <w:szCs w:val="16"/>
        </w:rPr>
        <w:t>l financial assets of the [entity]</w:t>
      </w:r>
      <w:r w:rsidRPr="00500C8D">
        <w:rPr>
          <w:rFonts w:ascii="Tahoma" w:eastAsia="Arial" w:hAnsi="Tahoma" w:cs="Tahoma"/>
          <w:color w:val="000000" w:themeColor="text1"/>
          <w:spacing w:val="-1"/>
          <w:sz w:val="20"/>
          <w:szCs w:val="16"/>
        </w:rPr>
        <w:t xml:space="preserve"> that are overseen by the </w:t>
      </w:r>
      <w:r w:rsidR="000E2DE7" w:rsidRPr="00500C8D">
        <w:rPr>
          <w:rFonts w:ascii="Tahoma" w:eastAsia="Arial" w:hAnsi="Tahoma" w:cs="Tahoma"/>
          <w:color w:val="000000" w:themeColor="text1"/>
          <w:spacing w:val="-1"/>
          <w:sz w:val="20"/>
          <w:szCs w:val="16"/>
        </w:rPr>
        <w:t>[designated official]</w:t>
      </w:r>
      <w:r w:rsidRPr="00500C8D">
        <w:rPr>
          <w:rFonts w:ascii="Tahoma" w:eastAsia="Arial" w:hAnsi="Tahoma" w:cs="Tahoma"/>
          <w:color w:val="000000" w:themeColor="text1"/>
          <w:spacing w:val="-1"/>
          <w:sz w:val="20"/>
          <w:szCs w:val="16"/>
        </w:rPr>
        <w:t xml:space="preserve">, including, but not specifically limited to those assets held in the public interest in the </w:t>
      </w:r>
      <w:r w:rsidR="000E2DE7" w:rsidRPr="00500C8D">
        <w:rPr>
          <w:rFonts w:ascii="Tahoma" w:eastAsia="Arial" w:hAnsi="Tahoma" w:cs="Tahoma"/>
          <w:color w:val="000000" w:themeColor="text1"/>
          <w:spacing w:val="-1"/>
          <w:sz w:val="20"/>
          <w:szCs w:val="16"/>
        </w:rPr>
        <w:t>[entity’s]</w:t>
      </w:r>
      <w:r w:rsidRPr="00500C8D">
        <w:rPr>
          <w:rFonts w:ascii="Tahoma" w:eastAsia="Arial" w:hAnsi="Tahoma" w:cs="Tahoma"/>
          <w:color w:val="000000" w:themeColor="text1"/>
          <w:spacing w:val="-1"/>
          <w:sz w:val="20"/>
          <w:szCs w:val="16"/>
        </w:rPr>
        <w:t xml:space="preserve"> fiscal capacity as well as those held in trust or agency capacity for other governmental entities. Should bond covenants be more restrictive than this </w:t>
      </w:r>
      <w:r w:rsidR="000E2DE7" w:rsidRPr="00500C8D">
        <w:rPr>
          <w:rFonts w:ascii="Tahoma" w:eastAsia="Arial" w:hAnsi="Tahoma" w:cs="Tahoma"/>
          <w:color w:val="000000" w:themeColor="text1"/>
          <w:spacing w:val="-1"/>
          <w:sz w:val="20"/>
          <w:szCs w:val="16"/>
        </w:rPr>
        <w:t>P</w:t>
      </w:r>
      <w:r w:rsidRPr="00500C8D">
        <w:rPr>
          <w:rFonts w:ascii="Tahoma" w:eastAsia="Arial" w:hAnsi="Tahoma" w:cs="Tahoma"/>
          <w:color w:val="000000" w:themeColor="text1"/>
          <w:spacing w:val="-1"/>
          <w:sz w:val="20"/>
          <w:szCs w:val="16"/>
        </w:rPr>
        <w:t xml:space="preserve">olicy, bond proceeds will be invested in full compliance with those restrictions. Additionally, all funds overseen by the </w:t>
      </w:r>
      <w:r w:rsidR="000E2DE7" w:rsidRPr="00500C8D">
        <w:rPr>
          <w:rFonts w:ascii="Tahoma" w:eastAsia="Arial" w:hAnsi="Tahoma" w:cs="Tahoma"/>
          <w:color w:val="000000" w:themeColor="text1"/>
          <w:spacing w:val="-1"/>
          <w:sz w:val="20"/>
          <w:szCs w:val="16"/>
        </w:rPr>
        <w:t xml:space="preserve">[designated official] </w:t>
      </w:r>
      <w:r w:rsidRPr="00500C8D">
        <w:rPr>
          <w:rFonts w:ascii="Tahoma" w:eastAsia="Arial" w:hAnsi="Tahoma" w:cs="Tahoma"/>
          <w:color w:val="000000" w:themeColor="text1"/>
          <w:spacing w:val="-1"/>
          <w:sz w:val="20"/>
          <w:szCs w:val="16"/>
        </w:rPr>
        <w:t xml:space="preserve">are accounted for in the </w:t>
      </w:r>
      <w:r w:rsidR="000E2DE7" w:rsidRPr="00500C8D">
        <w:rPr>
          <w:rFonts w:ascii="Tahoma" w:eastAsia="Arial" w:hAnsi="Tahoma" w:cs="Tahoma"/>
          <w:color w:val="000000" w:themeColor="text1"/>
          <w:spacing w:val="-1"/>
          <w:sz w:val="20"/>
          <w:szCs w:val="16"/>
        </w:rPr>
        <w:t xml:space="preserve">[entity’s] </w:t>
      </w:r>
      <w:r w:rsidRPr="00500C8D">
        <w:rPr>
          <w:rFonts w:ascii="Tahoma" w:eastAsia="Arial" w:hAnsi="Tahoma" w:cs="Tahoma"/>
          <w:color w:val="000000" w:themeColor="text1"/>
          <w:spacing w:val="-1"/>
          <w:sz w:val="20"/>
          <w:szCs w:val="16"/>
        </w:rPr>
        <w:t>Comprehensive Annu</w:t>
      </w:r>
      <w:r w:rsidR="00493B5E">
        <w:rPr>
          <w:rFonts w:ascii="Tahoma" w:eastAsia="Arial" w:hAnsi="Tahoma" w:cs="Tahoma"/>
          <w:color w:val="000000" w:themeColor="text1"/>
          <w:spacing w:val="-1"/>
          <w:sz w:val="20"/>
          <w:szCs w:val="16"/>
        </w:rPr>
        <w:t>al Financial Report (CAFR).  Retirement</w:t>
      </w:r>
      <w:r w:rsidRPr="00500C8D">
        <w:rPr>
          <w:rFonts w:ascii="Tahoma" w:eastAsia="Arial" w:hAnsi="Tahoma" w:cs="Tahoma"/>
          <w:color w:val="000000" w:themeColor="text1"/>
          <w:spacing w:val="-1"/>
          <w:sz w:val="20"/>
          <w:szCs w:val="16"/>
        </w:rPr>
        <w:t xml:space="preserve"> and Other Post Employment Benefits (OPEB) are excluded from this Policy.</w:t>
      </w:r>
      <w:r w:rsidR="004929F9">
        <w:rPr>
          <w:rFonts w:ascii="Tahoma" w:eastAsia="Arial" w:hAnsi="Tahoma" w:cs="Tahoma"/>
          <w:color w:val="000000" w:themeColor="text1"/>
          <w:spacing w:val="-1"/>
          <w:sz w:val="20"/>
          <w:szCs w:val="16"/>
        </w:rPr>
        <w:t xml:space="preserve">  (Note: Since bond proceeds may have different guidelines, they may be exclude from the entity’s main policy and have a separate policy.)</w:t>
      </w:r>
    </w:p>
    <w:p w14:paraId="6B5F73DF" w14:textId="77777777" w:rsidR="00880848" w:rsidRPr="00500C8D" w:rsidRDefault="00880848" w:rsidP="007D6754">
      <w:pPr>
        <w:pStyle w:val="NoSpacing"/>
        <w:ind w:left="0"/>
        <w:jc w:val="both"/>
        <w:rPr>
          <w:rFonts w:eastAsia="Arial" w:cstheme="minorHAnsi"/>
          <w:color w:val="000000" w:themeColor="text1"/>
          <w:spacing w:val="-1"/>
        </w:rPr>
      </w:pPr>
    </w:p>
    <w:p w14:paraId="47ED106C" w14:textId="77777777" w:rsidR="00880848" w:rsidRPr="00500C8D" w:rsidRDefault="002C7AB0" w:rsidP="007D6754">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t xml:space="preserve">8.  </w:t>
      </w:r>
      <w:r w:rsidR="00880848" w:rsidRPr="00500C8D">
        <w:rPr>
          <w:rFonts w:ascii="Tahoma" w:hAnsi="Tahoma" w:cs="Tahoma"/>
          <w:b/>
          <w:bCs/>
          <w:color w:val="000000" w:themeColor="text1"/>
          <w:sz w:val="20"/>
          <w:szCs w:val="16"/>
        </w:rPr>
        <w:t>Primary Investment Objectives</w:t>
      </w:r>
    </w:p>
    <w:p w14:paraId="6C9BDF84" w14:textId="77777777" w:rsidR="000D6A5A" w:rsidRPr="00500C8D" w:rsidRDefault="000D6A5A" w:rsidP="007D6754">
      <w:pPr>
        <w:pStyle w:val="NoSpacing"/>
        <w:jc w:val="both"/>
        <w:rPr>
          <w:rFonts w:ascii="Tahoma" w:hAnsi="Tahoma" w:cs="Tahoma"/>
          <w:color w:val="000000" w:themeColor="text1"/>
          <w:sz w:val="20"/>
          <w:szCs w:val="16"/>
        </w:rPr>
      </w:pPr>
    </w:p>
    <w:p w14:paraId="32DAB474" w14:textId="77777777" w:rsidR="00880848" w:rsidRPr="00500C8D" w:rsidRDefault="00880848" w:rsidP="006F121E">
      <w:pPr>
        <w:pStyle w:val="NoSpacing"/>
        <w:numPr>
          <w:ilvl w:val="0"/>
          <w:numId w:val="14"/>
        </w:numPr>
        <w:ind w:left="720"/>
        <w:jc w:val="both"/>
        <w:rPr>
          <w:rFonts w:ascii="Tahoma" w:hAnsi="Tahoma" w:cs="Tahoma"/>
          <w:color w:val="000000" w:themeColor="text1"/>
          <w:sz w:val="20"/>
          <w:szCs w:val="16"/>
        </w:rPr>
      </w:pPr>
      <w:r w:rsidRPr="00500C8D">
        <w:rPr>
          <w:rFonts w:ascii="Tahoma" w:hAnsi="Tahoma" w:cs="Tahoma"/>
          <w:b/>
          <w:bCs/>
          <w:color w:val="000000" w:themeColor="text1"/>
          <w:sz w:val="20"/>
          <w:szCs w:val="16"/>
        </w:rPr>
        <w:t>Safety of Principal:</w:t>
      </w:r>
      <w:r w:rsidRPr="00500C8D">
        <w:rPr>
          <w:rFonts w:ascii="Tahoma" w:hAnsi="Tahoma" w:cs="Tahoma"/>
          <w:color w:val="000000" w:themeColor="text1"/>
          <w:sz w:val="20"/>
          <w:szCs w:val="16"/>
        </w:rPr>
        <w:t xml:space="preserve">  Safety of principal is the fo</w:t>
      </w:r>
      <w:r w:rsidR="00231EDC">
        <w:rPr>
          <w:rFonts w:ascii="Tahoma" w:hAnsi="Tahoma" w:cs="Tahoma"/>
          <w:color w:val="000000" w:themeColor="text1"/>
          <w:sz w:val="20"/>
          <w:szCs w:val="16"/>
        </w:rPr>
        <w:t>remost objective of the [entity’s]</w:t>
      </w:r>
      <w:r w:rsidRPr="00500C8D">
        <w:rPr>
          <w:rFonts w:ascii="Tahoma" w:hAnsi="Tahoma" w:cs="Tahoma"/>
          <w:color w:val="000000" w:themeColor="text1"/>
          <w:sz w:val="20"/>
          <w:szCs w:val="16"/>
        </w:rPr>
        <w:t xml:space="preserve"> investment program. Inv</w:t>
      </w:r>
      <w:r w:rsidR="00493B5E">
        <w:rPr>
          <w:rFonts w:ascii="Tahoma" w:hAnsi="Tahoma" w:cs="Tahoma"/>
          <w:color w:val="000000" w:themeColor="text1"/>
          <w:sz w:val="20"/>
          <w:szCs w:val="16"/>
        </w:rPr>
        <w:t>estments by the [designated official]</w:t>
      </w:r>
      <w:r w:rsidRPr="00500C8D">
        <w:rPr>
          <w:rFonts w:ascii="Tahoma" w:hAnsi="Tahoma" w:cs="Tahoma"/>
          <w:color w:val="000000" w:themeColor="text1"/>
          <w:sz w:val="20"/>
          <w:szCs w:val="16"/>
        </w:rPr>
        <w:t xml:space="preserve"> shall be undertaken in a manner that seeks to ensure the preservation of capital in the overall portfolio. To attain this objective, diversification of security types, sectors, issuers, and maturities is necessary in order that potential losses on individual securities do not exceed the income generated from the remainder of the portfolio.</w:t>
      </w:r>
    </w:p>
    <w:p w14:paraId="0B499664" w14:textId="77777777" w:rsidR="00880848" w:rsidRPr="00500C8D" w:rsidRDefault="00880848" w:rsidP="006F121E">
      <w:pPr>
        <w:pStyle w:val="NoSpacing"/>
        <w:ind w:hanging="360"/>
        <w:jc w:val="both"/>
        <w:rPr>
          <w:rFonts w:ascii="Tahoma" w:hAnsi="Tahoma" w:cs="Tahoma"/>
          <w:color w:val="000000" w:themeColor="text1"/>
          <w:sz w:val="20"/>
          <w:szCs w:val="16"/>
        </w:rPr>
      </w:pPr>
    </w:p>
    <w:p w14:paraId="211B4269" w14:textId="77777777" w:rsidR="00880848" w:rsidRPr="00500C8D" w:rsidRDefault="00880848" w:rsidP="006F121E">
      <w:pPr>
        <w:pStyle w:val="NoSpacing"/>
        <w:numPr>
          <w:ilvl w:val="0"/>
          <w:numId w:val="14"/>
        </w:numPr>
        <w:ind w:left="720"/>
        <w:jc w:val="both"/>
        <w:rPr>
          <w:rFonts w:ascii="Tahoma" w:hAnsi="Tahoma" w:cs="Tahoma"/>
          <w:color w:val="000000" w:themeColor="text1"/>
          <w:sz w:val="20"/>
          <w:szCs w:val="16"/>
        </w:rPr>
      </w:pPr>
      <w:r w:rsidRPr="00500C8D">
        <w:rPr>
          <w:rFonts w:ascii="Tahoma" w:hAnsi="Tahoma" w:cs="Tahoma"/>
          <w:b/>
          <w:bCs/>
          <w:color w:val="000000" w:themeColor="text1"/>
          <w:sz w:val="20"/>
          <w:szCs w:val="16"/>
        </w:rPr>
        <w:t>Liquidity:</w:t>
      </w:r>
      <w:r w:rsidRPr="00500C8D">
        <w:rPr>
          <w:rFonts w:ascii="Tahoma" w:hAnsi="Tahoma" w:cs="Tahoma"/>
          <w:color w:val="000000" w:themeColor="text1"/>
          <w:sz w:val="20"/>
          <w:szCs w:val="16"/>
        </w:rPr>
        <w:t xml:space="preserve">  The investment portfolio shall be structured to timely meet expected cash </w:t>
      </w:r>
      <w:r w:rsidR="001B7900">
        <w:rPr>
          <w:rFonts w:ascii="Tahoma" w:hAnsi="Tahoma" w:cs="Tahoma"/>
          <w:color w:val="000000" w:themeColor="text1"/>
          <w:sz w:val="20"/>
          <w:szCs w:val="16"/>
        </w:rPr>
        <w:t>out</w:t>
      </w:r>
      <w:r w:rsidRPr="00500C8D">
        <w:rPr>
          <w:rFonts w:ascii="Tahoma" w:hAnsi="Tahoma" w:cs="Tahoma"/>
          <w:color w:val="000000" w:themeColor="text1"/>
          <w:sz w:val="20"/>
          <w:szCs w:val="16"/>
        </w:rPr>
        <w:t>flow needs and associated obligations which might be reasonably anticipated. This objective shall be achieved by matching investment maturities with forecasted cash outflows and maintaining an additional liquidity buffer for unexpected liabilities.</w:t>
      </w:r>
    </w:p>
    <w:p w14:paraId="2DCF85F2" w14:textId="77777777" w:rsidR="00880848" w:rsidRPr="00500C8D" w:rsidRDefault="00880848" w:rsidP="006F121E">
      <w:pPr>
        <w:pStyle w:val="NoSpacing"/>
        <w:ind w:hanging="360"/>
        <w:jc w:val="both"/>
        <w:rPr>
          <w:rFonts w:ascii="Tahoma" w:hAnsi="Tahoma" w:cs="Tahoma"/>
          <w:color w:val="000000" w:themeColor="text1"/>
          <w:sz w:val="20"/>
          <w:szCs w:val="16"/>
        </w:rPr>
      </w:pPr>
    </w:p>
    <w:p w14:paraId="0D52598D" w14:textId="77777777" w:rsidR="00880848" w:rsidRPr="00500C8D" w:rsidRDefault="00880848" w:rsidP="006F121E">
      <w:pPr>
        <w:pStyle w:val="NoSpacing"/>
        <w:numPr>
          <w:ilvl w:val="0"/>
          <w:numId w:val="14"/>
        </w:numPr>
        <w:ind w:left="720"/>
        <w:jc w:val="both"/>
        <w:rPr>
          <w:rFonts w:ascii="Tahoma" w:hAnsi="Tahoma" w:cs="Tahoma"/>
          <w:color w:val="000000" w:themeColor="text1"/>
          <w:sz w:val="20"/>
          <w:szCs w:val="16"/>
        </w:rPr>
      </w:pPr>
      <w:r w:rsidRPr="00500C8D">
        <w:rPr>
          <w:rFonts w:ascii="Tahoma" w:hAnsi="Tahoma" w:cs="Tahoma"/>
          <w:b/>
          <w:bCs/>
          <w:color w:val="000000" w:themeColor="text1"/>
          <w:sz w:val="20"/>
          <w:szCs w:val="16"/>
        </w:rPr>
        <w:t>Investment Income:</w:t>
      </w:r>
      <w:r w:rsidRPr="00500C8D">
        <w:rPr>
          <w:rFonts w:ascii="Tahoma" w:hAnsi="Tahoma" w:cs="Tahoma"/>
          <w:color w:val="000000" w:themeColor="text1"/>
          <w:sz w:val="20"/>
          <w:szCs w:val="16"/>
        </w:rPr>
        <w:t xml:space="preserve">  The investment portfolio shall be designed to earn a market rate of</w:t>
      </w:r>
      <w:r w:rsidR="00786743">
        <w:rPr>
          <w:rFonts w:ascii="Tahoma" w:hAnsi="Tahoma" w:cs="Tahoma"/>
          <w:color w:val="000000" w:themeColor="text1"/>
          <w:sz w:val="20"/>
          <w:szCs w:val="16"/>
        </w:rPr>
        <w:t xml:space="preserve"> investment income in relation to prevailing </w:t>
      </w:r>
      <w:r w:rsidRPr="00500C8D">
        <w:rPr>
          <w:rFonts w:ascii="Tahoma" w:hAnsi="Tahoma" w:cs="Tahoma"/>
          <w:color w:val="000000" w:themeColor="text1"/>
          <w:sz w:val="20"/>
          <w:szCs w:val="16"/>
        </w:rPr>
        <w:t>budgetary and economic cycles, while taking into account investment risk constraints and liquidity needs of the portfolio</w:t>
      </w:r>
      <w:r w:rsidR="00070C7C" w:rsidRPr="00500C8D">
        <w:rPr>
          <w:rFonts w:ascii="Tahoma" w:hAnsi="Tahoma" w:cs="Tahoma"/>
          <w:color w:val="000000" w:themeColor="text1"/>
          <w:sz w:val="20"/>
          <w:szCs w:val="16"/>
        </w:rPr>
        <w:t>.</w:t>
      </w:r>
    </w:p>
    <w:p w14:paraId="2B423863" w14:textId="77777777" w:rsidR="00070C7C" w:rsidRPr="00500C8D" w:rsidRDefault="00070C7C" w:rsidP="007D6754">
      <w:pPr>
        <w:pStyle w:val="NoSpacing"/>
        <w:ind w:left="360"/>
        <w:jc w:val="both"/>
        <w:rPr>
          <w:rFonts w:ascii="Tahoma" w:hAnsi="Tahoma" w:cs="Tahoma"/>
          <w:color w:val="000000" w:themeColor="text1"/>
          <w:sz w:val="20"/>
          <w:szCs w:val="16"/>
        </w:rPr>
      </w:pPr>
    </w:p>
    <w:p w14:paraId="2679F05A" w14:textId="77777777" w:rsidR="00070C7C" w:rsidRPr="00500C8D" w:rsidRDefault="002C7AB0" w:rsidP="007D6754">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t xml:space="preserve">9.  </w:t>
      </w:r>
      <w:r w:rsidR="00070C7C" w:rsidRPr="00500C8D">
        <w:rPr>
          <w:rFonts w:ascii="Tahoma" w:hAnsi="Tahoma" w:cs="Tahoma"/>
          <w:b/>
          <w:bCs/>
          <w:color w:val="000000" w:themeColor="text1"/>
          <w:sz w:val="20"/>
          <w:szCs w:val="16"/>
        </w:rPr>
        <w:t xml:space="preserve">Primary Investment Philosophy  </w:t>
      </w:r>
    </w:p>
    <w:p w14:paraId="2F0683FD" w14:textId="77777777" w:rsidR="00070C7C" w:rsidRPr="00500C8D" w:rsidRDefault="00070C7C" w:rsidP="007D6754">
      <w:pPr>
        <w:pStyle w:val="NoSpacing"/>
        <w:ind w:left="0"/>
        <w:jc w:val="both"/>
        <w:rPr>
          <w:rFonts w:ascii="Tahoma" w:hAnsi="Tahoma" w:cs="Tahoma"/>
          <w:color w:val="000000" w:themeColor="text1"/>
          <w:sz w:val="20"/>
          <w:szCs w:val="16"/>
        </w:rPr>
      </w:pPr>
      <w:r w:rsidRPr="00500C8D">
        <w:rPr>
          <w:rFonts w:ascii="Tahoma" w:hAnsi="Tahoma" w:cs="Tahoma"/>
          <w:color w:val="000000" w:themeColor="text1"/>
          <w:sz w:val="20"/>
          <w:szCs w:val="16"/>
        </w:rPr>
        <w:t>The primary inv</w:t>
      </w:r>
      <w:r w:rsidR="007A7CBB">
        <w:rPr>
          <w:rFonts w:ascii="Tahoma" w:hAnsi="Tahoma" w:cs="Tahoma"/>
          <w:color w:val="000000" w:themeColor="text1"/>
          <w:sz w:val="20"/>
          <w:szCs w:val="16"/>
        </w:rPr>
        <w:t>estment philosophy of the [entity]</w:t>
      </w:r>
      <w:r w:rsidRPr="00500C8D">
        <w:rPr>
          <w:rFonts w:ascii="Tahoma" w:hAnsi="Tahoma" w:cs="Tahoma"/>
          <w:color w:val="000000" w:themeColor="text1"/>
          <w:sz w:val="20"/>
          <w:szCs w:val="16"/>
        </w:rPr>
        <w:t xml:space="preserve"> is to match investment maturities with expected cash outflows.  Securities shall generally be held until maturity, with the following exceptions:</w:t>
      </w:r>
    </w:p>
    <w:p w14:paraId="28024BD7" w14:textId="77777777" w:rsidR="00070C7C" w:rsidRPr="00500C8D" w:rsidRDefault="00070C7C" w:rsidP="007D6754">
      <w:pPr>
        <w:pStyle w:val="NoSpacing"/>
        <w:ind w:left="0"/>
        <w:jc w:val="both"/>
        <w:rPr>
          <w:rFonts w:ascii="Tahoma" w:hAnsi="Tahoma" w:cs="Tahoma"/>
          <w:color w:val="000000" w:themeColor="text1"/>
          <w:sz w:val="12"/>
          <w:szCs w:val="12"/>
        </w:rPr>
      </w:pPr>
    </w:p>
    <w:p w14:paraId="7B244328" w14:textId="77777777" w:rsidR="00070C7C" w:rsidRPr="00500C8D" w:rsidRDefault="00070C7C" w:rsidP="007D6754">
      <w:pPr>
        <w:pStyle w:val="NoSpacing"/>
        <w:numPr>
          <w:ilvl w:val="0"/>
          <w:numId w:val="4"/>
        </w:numPr>
        <w:jc w:val="both"/>
        <w:rPr>
          <w:rFonts w:ascii="Tahoma" w:hAnsi="Tahoma" w:cs="Tahoma"/>
          <w:color w:val="000000" w:themeColor="text1"/>
          <w:sz w:val="20"/>
          <w:szCs w:val="16"/>
        </w:rPr>
      </w:pPr>
      <w:r w:rsidRPr="00500C8D">
        <w:rPr>
          <w:rFonts w:ascii="Tahoma" w:hAnsi="Tahoma" w:cs="Tahoma"/>
          <w:color w:val="000000" w:themeColor="text1"/>
          <w:sz w:val="20"/>
          <w:szCs w:val="16"/>
        </w:rPr>
        <w:t>A security with</w:t>
      </w:r>
      <w:r w:rsidR="00F65088">
        <w:rPr>
          <w:rFonts w:ascii="Tahoma" w:hAnsi="Tahoma" w:cs="Tahoma"/>
          <w:color w:val="000000" w:themeColor="text1"/>
          <w:sz w:val="20"/>
          <w:szCs w:val="16"/>
        </w:rPr>
        <w:t xml:space="preserve"> declining credit may be sold prior to maturity</w:t>
      </w:r>
      <w:r w:rsidRPr="00500C8D">
        <w:rPr>
          <w:rFonts w:ascii="Tahoma" w:hAnsi="Tahoma" w:cs="Tahoma"/>
          <w:color w:val="000000" w:themeColor="text1"/>
          <w:sz w:val="20"/>
          <w:szCs w:val="16"/>
        </w:rPr>
        <w:t xml:space="preserve"> to minimize loss of principal.</w:t>
      </w:r>
    </w:p>
    <w:p w14:paraId="39313D62" w14:textId="77777777" w:rsidR="00070C7C" w:rsidRPr="00500C8D" w:rsidRDefault="00070C7C" w:rsidP="007D6754">
      <w:pPr>
        <w:pStyle w:val="NoSpacing"/>
        <w:numPr>
          <w:ilvl w:val="0"/>
          <w:numId w:val="4"/>
        </w:numPr>
        <w:jc w:val="both"/>
        <w:rPr>
          <w:rFonts w:ascii="Tahoma" w:hAnsi="Tahoma" w:cs="Tahoma"/>
          <w:color w:val="000000" w:themeColor="text1"/>
          <w:sz w:val="20"/>
          <w:szCs w:val="16"/>
        </w:rPr>
      </w:pPr>
      <w:r w:rsidRPr="00500C8D">
        <w:rPr>
          <w:rFonts w:ascii="Tahoma" w:hAnsi="Tahoma" w:cs="Tahoma"/>
          <w:color w:val="000000" w:themeColor="text1"/>
          <w:sz w:val="20"/>
          <w:szCs w:val="16"/>
        </w:rPr>
        <w:t>Liquidity needs o</w:t>
      </w:r>
      <w:r w:rsidR="00F65088">
        <w:rPr>
          <w:rFonts w:ascii="Tahoma" w:hAnsi="Tahoma" w:cs="Tahoma"/>
          <w:color w:val="000000" w:themeColor="text1"/>
          <w:sz w:val="20"/>
          <w:szCs w:val="16"/>
        </w:rPr>
        <w:t>f the portfolio require that a</w:t>
      </w:r>
      <w:r w:rsidRPr="00500C8D">
        <w:rPr>
          <w:rFonts w:ascii="Tahoma" w:hAnsi="Tahoma" w:cs="Tahoma"/>
          <w:color w:val="000000" w:themeColor="text1"/>
          <w:sz w:val="20"/>
          <w:szCs w:val="16"/>
        </w:rPr>
        <w:t xml:space="preserve"> security be sold</w:t>
      </w:r>
      <w:r w:rsidR="00F65088">
        <w:rPr>
          <w:rFonts w:ascii="Tahoma" w:hAnsi="Tahoma" w:cs="Tahoma"/>
          <w:color w:val="000000" w:themeColor="text1"/>
          <w:sz w:val="20"/>
          <w:szCs w:val="16"/>
        </w:rPr>
        <w:t xml:space="preserve"> prior to maturity</w:t>
      </w:r>
      <w:r w:rsidRPr="00500C8D">
        <w:rPr>
          <w:rFonts w:ascii="Tahoma" w:hAnsi="Tahoma" w:cs="Tahoma"/>
          <w:color w:val="000000" w:themeColor="text1"/>
          <w:sz w:val="20"/>
          <w:szCs w:val="16"/>
        </w:rPr>
        <w:t>.</w:t>
      </w:r>
    </w:p>
    <w:p w14:paraId="310CA927" w14:textId="77777777" w:rsidR="00070C7C" w:rsidRPr="00500C8D" w:rsidRDefault="00BB2BFB" w:rsidP="007D6754">
      <w:pPr>
        <w:pStyle w:val="NoSpacing"/>
        <w:numPr>
          <w:ilvl w:val="0"/>
          <w:numId w:val="4"/>
        </w:numPr>
        <w:jc w:val="both"/>
        <w:rPr>
          <w:rFonts w:ascii="Tahoma" w:hAnsi="Tahoma" w:cs="Tahoma"/>
          <w:color w:val="000000" w:themeColor="text1"/>
          <w:sz w:val="20"/>
          <w:szCs w:val="16"/>
        </w:rPr>
      </w:pPr>
      <w:r>
        <w:rPr>
          <w:rFonts w:ascii="Tahoma" w:hAnsi="Tahoma" w:cs="Tahoma"/>
          <w:color w:val="000000" w:themeColor="text1"/>
          <w:sz w:val="20"/>
          <w:szCs w:val="16"/>
        </w:rPr>
        <w:t>A security rebalance</w:t>
      </w:r>
      <w:r w:rsidR="00786743">
        <w:rPr>
          <w:rFonts w:ascii="Tahoma" w:hAnsi="Tahoma" w:cs="Tahoma"/>
          <w:color w:val="000000" w:themeColor="text1"/>
          <w:sz w:val="20"/>
          <w:szCs w:val="16"/>
        </w:rPr>
        <w:t xml:space="preserve"> or swap</w:t>
      </w:r>
      <w:r w:rsidR="00070C7C" w:rsidRPr="00500C8D">
        <w:rPr>
          <w:rFonts w:ascii="Tahoma" w:hAnsi="Tahoma" w:cs="Tahoma"/>
          <w:color w:val="000000" w:themeColor="text1"/>
          <w:sz w:val="20"/>
          <w:szCs w:val="16"/>
        </w:rPr>
        <w:t xml:space="preserve"> would improve the quality, yield, or target duration in the portfolio.</w:t>
      </w:r>
    </w:p>
    <w:p w14:paraId="4DC1FAC2" w14:textId="77777777" w:rsidR="00070C7C" w:rsidRPr="00500C8D" w:rsidRDefault="00070C7C" w:rsidP="007D6754">
      <w:pPr>
        <w:pStyle w:val="NoSpacing"/>
        <w:ind w:left="0"/>
        <w:jc w:val="both"/>
        <w:rPr>
          <w:rFonts w:ascii="Tahoma" w:hAnsi="Tahoma" w:cs="Tahoma"/>
          <w:color w:val="000000" w:themeColor="text1"/>
          <w:sz w:val="20"/>
          <w:szCs w:val="16"/>
        </w:rPr>
      </w:pPr>
    </w:p>
    <w:p w14:paraId="25BDCA28" w14:textId="77777777" w:rsidR="00070C7C" w:rsidRPr="00500C8D" w:rsidRDefault="002C7AB0" w:rsidP="007D6754">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t xml:space="preserve">10.  </w:t>
      </w:r>
      <w:r w:rsidR="00070C7C" w:rsidRPr="00500C8D">
        <w:rPr>
          <w:rFonts w:ascii="Tahoma" w:hAnsi="Tahoma" w:cs="Tahoma"/>
          <w:b/>
          <w:bCs/>
          <w:color w:val="000000" w:themeColor="text1"/>
          <w:sz w:val="20"/>
          <w:szCs w:val="16"/>
        </w:rPr>
        <w:t xml:space="preserve">Standard of Prudence   </w:t>
      </w:r>
    </w:p>
    <w:p w14:paraId="7D0126A9" w14:textId="77777777" w:rsidR="00070C7C" w:rsidRPr="00500C8D" w:rsidRDefault="00070C7C" w:rsidP="007D6754">
      <w:pPr>
        <w:pStyle w:val="NoSpacing"/>
        <w:ind w:left="0"/>
        <w:jc w:val="both"/>
        <w:rPr>
          <w:rFonts w:ascii="Tahoma" w:hAnsi="Tahoma" w:cs="Tahoma"/>
          <w:color w:val="000000" w:themeColor="text1"/>
          <w:sz w:val="20"/>
          <w:szCs w:val="16"/>
        </w:rPr>
      </w:pPr>
      <w:r w:rsidRPr="00500C8D">
        <w:rPr>
          <w:rFonts w:ascii="Tahoma" w:hAnsi="Tahoma" w:cs="Tahoma"/>
          <w:color w:val="000000" w:themeColor="text1"/>
          <w:sz w:val="20"/>
          <w:szCs w:val="16"/>
        </w:rPr>
        <w:t xml:space="preserve">The Prudent Investor Rule states that governing bodies of state and local agencies or persons authorized to make investment decisions on behalf of those local agencies investing public funds are trustees, and therefore are fiduciaries.  The Prudent Investor Standard is as follows: </w:t>
      </w:r>
    </w:p>
    <w:p w14:paraId="30352233" w14:textId="77777777" w:rsidR="00070C7C" w:rsidRPr="00500C8D" w:rsidRDefault="00070C7C" w:rsidP="007D6754">
      <w:pPr>
        <w:pStyle w:val="NoSpacing"/>
        <w:ind w:left="0"/>
        <w:jc w:val="both"/>
        <w:rPr>
          <w:rFonts w:ascii="Tahoma" w:hAnsi="Tahoma" w:cs="Tahoma"/>
          <w:color w:val="000000" w:themeColor="text1"/>
          <w:sz w:val="20"/>
          <w:szCs w:val="16"/>
        </w:rPr>
      </w:pPr>
    </w:p>
    <w:p w14:paraId="016DBB4C" w14:textId="6C9E9E6B" w:rsidR="00070C7C" w:rsidRDefault="00070C7C" w:rsidP="007D6754">
      <w:pPr>
        <w:pStyle w:val="NoSpacing"/>
        <w:ind w:left="360"/>
        <w:jc w:val="both"/>
        <w:rPr>
          <w:rFonts w:ascii="Tahoma" w:hAnsi="Tahoma" w:cs="Tahoma"/>
          <w:color w:val="000000" w:themeColor="text1"/>
          <w:sz w:val="20"/>
          <w:szCs w:val="16"/>
        </w:rPr>
      </w:pPr>
      <w:r w:rsidRPr="00500C8D">
        <w:rPr>
          <w:rFonts w:ascii="Tahoma" w:hAnsi="Tahoma" w:cs="Tahoma"/>
          <w:color w:val="000000" w:themeColor="text1"/>
          <w:sz w:val="20"/>
          <w:szCs w:val="16"/>
        </w:rPr>
        <w:t>When investing, reinvesting, purchasing, acquiring, exchanging, selling, or managing public funds, a trustee shall act with care, skill, prudence, and diligence under the circumstances then prevailing, including, but not limited to, the general economic conditions and the anticipated needs of the agency, that a prudent</w:t>
      </w:r>
      <w:r w:rsidR="00B125C1">
        <w:rPr>
          <w:rFonts w:ascii="Tahoma" w:hAnsi="Tahoma" w:cs="Tahoma"/>
          <w:color w:val="000000" w:themeColor="text1"/>
          <w:sz w:val="20"/>
          <w:szCs w:val="16"/>
        </w:rPr>
        <w:t xml:space="preserve"> investor</w:t>
      </w:r>
      <w:r w:rsidRPr="00500C8D">
        <w:rPr>
          <w:rFonts w:ascii="Tahoma" w:hAnsi="Tahoma" w:cs="Tahoma"/>
          <w:color w:val="000000" w:themeColor="text1"/>
          <w:sz w:val="20"/>
          <w:szCs w:val="16"/>
        </w:rPr>
        <w:t xml:space="preserve"> acting in a like capacity and familiarity with those matters would use in the conduct of funds of a like character and with like aims, to safeguard the principal and maintain the liquidity needs of the agency. </w:t>
      </w:r>
    </w:p>
    <w:p w14:paraId="1C3066AF" w14:textId="07E00C23" w:rsidR="00182DCD" w:rsidRDefault="00182DCD" w:rsidP="007D6754">
      <w:pPr>
        <w:pStyle w:val="NoSpacing"/>
        <w:ind w:left="360"/>
        <w:jc w:val="both"/>
        <w:rPr>
          <w:rFonts w:ascii="Tahoma" w:hAnsi="Tahoma" w:cs="Tahoma"/>
          <w:color w:val="000000" w:themeColor="text1"/>
          <w:sz w:val="20"/>
          <w:szCs w:val="16"/>
        </w:rPr>
      </w:pPr>
    </w:p>
    <w:p w14:paraId="393E55E9" w14:textId="77777777" w:rsidR="00182DCD" w:rsidRDefault="00182DCD" w:rsidP="007D6754">
      <w:pPr>
        <w:pStyle w:val="NoSpacing"/>
        <w:ind w:left="360"/>
        <w:jc w:val="both"/>
        <w:rPr>
          <w:rFonts w:ascii="Tahoma" w:hAnsi="Tahoma" w:cs="Tahoma"/>
          <w:color w:val="000000" w:themeColor="text1"/>
          <w:sz w:val="20"/>
          <w:szCs w:val="16"/>
        </w:rPr>
      </w:pPr>
    </w:p>
    <w:p w14:paraId="69B711FF" w14:textId="77777777" w:rsidR="00B125C1" w:rsidRDefault="00B125C1" w:rsidP="007D6754">
      <w:pPr>
        <w:pStyle w:val="NoSpacing"/>
        <w:ind w:left="360"/>
        <w:jc w:val="both"/>
        <w:rPr>
          <w:rFonts w:ascii="Tahoma" w:hAnsi="Tahoma" w:cs="Tahoma"/>
          <w:color w:val="000000" w:themeColor="text1"/>
          <w:sz w:val="20"/>
          <w:szCs w:val="16"/>
        </w:rPr>
      </w:pPr>
    </w:p>
    <w:p w14:paraId="2F3A571B" w14:textId="77777777" w:rsidR="00B125C1" w:rsidRDefault="00B125C1" w:rsidP="007D6754">
      <w:pPr>
        <w:pStyle w:val="NoSpacing"/>
        <w:ind w:left="360"/>
        <w:jc w:val="both"/>
        <w:rPr>
          <w:rFonts w:ascii="Tahoma" w:hAnsi="Tahoma" w:cs="Tahoma"/>
          <w:color w:val="000000" w:themeColor="text1"/>
          <w:sz w:val="20"/>
          <w:szCs w:val="16"/>
        </w:rPr>
      </w:pPr>
    </w:p>
    <w:p w14:paraId="6C2C6239" w14:textId="77777777" w:rsidR="00B125C1" w:rsidRDefault="00B125C1" w:rsidP="007D6754">
      <w:pPr>
        <w:pStyle w:val="NoSpacing"/>
        <w:ind w:left="360"/>
        <w:jc w:val="both"/>
        <w:rPr>
          <w:rFonts w:ascii="Tahoma" w:hAnsi="Tahoma" w:cs="Tahoma"/>
          <w:color w:val="000000" w:themeColor="text1"/>
          <w:sz w:val="20"/>
          <w:szCs w:val="16"/>
        </w:rPr>
      </w:pPr>
    </w:p>
    <w:p w14:paraId="7DC1267B" w14:textId="77777777" w:rsidR="00B125C1" w:rsidRDefault="00B125C1" w:rsidP="007D6754">
      <w:pPr>
        <w:pStyle w:val="NoSpacing"/>
        <w:ind w:left="360"/>
        <w:jc w:val="both"/>
        <w:rPr>
          <w:rFonts w:ascii="Tahoma" w:hAnsi="Tahoma" w:cs="Tahoma"/>
          <w:color w:val="000000" w:themeColor="text1"/>
          <w:sz w:val="20"/>
          <w:szCs w:val="16"/>
        </w:rPr>
      </w:pPr>
      <w:r>
        <w:rPr>
          <w:rFonts w:ascii="Tahoma" w:hAnsi="Tahoma" w:cs="Tahoma"/>
          <w:color w:val="000000" w:themeColor="text1"/>
          <w:sz w:val="20"/>
          <w:szCs w:val="16"/>
        </w:rPr>
        <w:lastRenderedPageBreak/>
        <w:t xml:space="preserve">The </w:t>
      </w:r>
      <w:r w:rsidRPr="00086CCE">
        <w:rPr>
          <w:rFonts w:ascii="Tahoma" w:hAnsi="Tahoma" w:cs="Tahoma"/>
          <w:b/>
          <w:color w:val="000000" w:themeColor="text1"/>
          <w:sz w:val="20"/>
          <w:szCs w:val="16"/>
        </w:rPr>
        <w:t>Prudent Person Standard</w:t>
      </w:r>
      <w:r>
        <w:rPr>
          <w:rFonts w:ascii="Tahoma" w:hAnsi="Tahoma" w:cs="Tahoma"/>
          <w:color w:val="000000" w:themeColor="text1"/>
          <w:sz w:val="20"/>
          <w:szCs w:val="16"/>
        </w:rPr>
        <w:t xml:space="preserve"> may also be used, which states:</w:t>
      </w:r>
    </w:p>
    <w:p w14:paraId="75EE2D99" w14:textId="77777777" w:rsidR="00B125C1" w:rsidRDefault="00B125C1" w:rsidP="007D6754">
      <w:pPr>
        <w:pStyle w:val="NoSpacing"/>
        <w:ind w:left="360"/>
        <w:jc w:val="both"/>
        <w:rPr>
          <w:rFonts w:ascii="Tahoma" w:hAnsi="Tahoma" w:cs="Tahoma"/>
          <w:color w:val="000000" w:themeColor="text1"/>
          <w:sz w:val="20"/>
          <w:szCs w:val="16"/>
        </w:rPr>
      </w:pPr>
    </w:p>
    <w:p w14:paraId="4D583C98" w14:textId="77777777" w:rsidR="00B125C1" w:rsidRDefault="00B125C1" w:rsidP="007D6754">
      <w:pPr>
        <w:pStyle w:val="NoSpacing"/>
        <w:ind w:left="360"/>
        <w:jc w:val="both"/>
        <w:rPr>
          <w:rFonts w:ascii="Tahoma" w:hAnsi="Tahoma" w:cs="Tahoma"/>
          <w:color w:val="000000" w:themeColor="text1"/>
          <w:sz w:val="20"/>
          <w:szCs w:val="16"/>
        </w:rPr>
      </w:pPr>
      <w:r w:rsidRPr="00B125C1">
        <w:rPr>
          <w:rFonts w:ascii="Tahoma" w:hAnsi="Tahoma" w:cs="Tahoma"/>
          <w:color w:val="000000" w:themeColor="text1"/>
          <w:sz w:val="20"/>
          <w:szCs w:val="16"/>
        </w:rPr>
        <w:t>"Investments shall be made with judgment and care, under</w:t>
      </w:r>
      <w:r>
        <w:rPr>
          <w:rFonts w:ascii="Tahoma" w:hAnsi="Tahoma" w:cs="Tahoma"/>
          <w:color w:val="000000" w:themeColor="text1"/>
          <w:sz w:val="20"/>
          <w:szCs w:val="16"/>
        </w:rPr>
        <w:t xml:space="preserve"> </w:t>
      </w:r>
      <w:r w:rsidRPr="00B125C1">
        <w:rPr>
          <w:rFonts w:ascii="Tahoma" w:hAnsi="Tahoma" w:cs="Tahoma"/>
          <w:color w:val="000000" w:themeColor="text1"/>
          <w:sz w:val="20"/>
          <w:szCs w:val="16"/>
        </w:rPr>
        <w:t>circumstances then prevailing, which persons of prudence, discretion and intelligence exercise in the</w:t>
      </w:r>
      <w:r>
        <w:rPr>
          <w:rFonts w:ascii="Tahoma" w:hAnsi="Tahoma" w:cs="Tahoma"/>
          <w:color w:val="000000" w:themeColor="text1"/>
          <w:sz w:val="20"/>
          <w:szCs w:val="16"/>
        </w:rPr>
        <w:t xml:space="preserve"> </w:t>
      </w:r>
      <w:r w:rsidRPr="00B125C1">
        <w:rPr>
          <w:rFonts w:ascii="Tahoma" w:hAnsi="Tahoma" w:cs="Tahoma"/>
          <w:color w:val="000000" w:themeColor="text1"/>
          <w:sz w:val="20"/>
          <w:szCs w:val="16"/>
        </w:rPr>
        <w:t>management of their own affairs, not for speculation, but for investment, considering the probable</w:t>
      </w:r>
      <w:r>
        <w:rPr>
          <w:rFonts w:ascii="Tahoma" w:hAnsi="Tahoma" w:cs="Tahoma"/>
          <w:color w:val="000000" w:themeColor="text1"/>
          <w:sz w:val="20"/>
          <w:szCs w:val="16"/>
        </w:rPr>
        <w:t xml:space="preserve"> </w:t>
      </w:r>
      <w:r w:rsidRPr="00B125C1">
        <w:rPr>
          <w:rFonts w:ascii="Tahoma" w:hAnsi="Tahoma" w:cs="Tahoma"/>
          <w:color w:val="000000" w:themeColor="text1"/>
          <w:sz w:val="20"/>
          <w:szCs w:val="16"/>
        </w:rPr>
        <w:t>safety of their capital as well as the probable income to be derived</w:t>
      </w:r>
      <w:r>
        <w:rPr>
          <w:rFonts w:ascii="Tahoma" w:hAnsi="Tahoma" w:cs="Tahoma"/>
          <w:color w:val="000000" w:themeColor="text1"/>
          <w:sz w:val="20"/>
          <w:szCs w:val="16"/>
        </w:rPr>
        <w:t>.</w:t>
      </w:r>
    </w:p>
    <w:p w14:paraId="4D19705B" w14:textId="77777777" w:rsidR="00786743" w:rsidRDefault="00786743" w:rsidP="007D6754">
      <w:pPr>
        <w:pStyle w:val="NoSpacing"/>
        <w:ind w:left="360"/>
        <w:jc w:val="both"/>
        <w:rPr>
          <w:rFonts w:ascii="Tahoma" w:hAnsi="Tahoma" w:cs="Tahoma"/>
          <w:color w:val="000000" w:themeColor="text1"/>
          <w:sz w:val="20"/>
          <w:szCs w:val="16"/>
        </w:rPr>
      </w:pPr>
    </w:p>
    <w:p w14:paraId="63F8246E" w14:textId="77777777" w:rsidR="00786743" w:rsidRDefault="00786743" w:rsidP="00786743">
      <w:pPr>
        <w:pStyle w:val="NoSpacing"/>
        <w:ind w:left="360"/>
        <w:jc w:val="both"/>
        <w:rPr>
          <w:rFonts w:ascii="Tahoma" w:hAnsi="Tahoma" w:cs="Tahoma"/>
          <w:color w:val="000000" w:themeColor="text1"/>
          <w:sz w:val="20"/>
          <w:szCs w:val="16"/>
        </w:rPr>
      </w:pPr>
      <w:r>
        <w:rPr>
          <w:rFonts w:ascii="Tahoma" w:hAnsi="Tahoma" w:cs="Tahoma"/>
          <w:color w:val="000000" w:themeColor="text1"/>
          <w:sz w:val="20"/>
          <w:szCs w:val="16"/>
        </w:rPr>
        <w:t xml:space="preserve">Another example of the </w:t>
      </w:r>
      <w:r w:rsidRPr="00086CCE">
        <w:rPr>
          <w:rFonts w:ascii="Tahoma" w:hAnsi="Tahoma" w:cs="Tahoma"/>
          <w:b/>
          <w:color w:val="000000" w:themeColor="text1"/>
          <w:sz w:val="20"/>
          <w:szCs w:val="16"/>
        </w:rPr>
        <w:t>Prudent Person Standard</w:t>
      </w:r>
      <w:r>
        <w:rPr>
          <w:rFonts w:ascii="Tahoma" w:hAnsi="Tahoma" w:cs="Tahoma"/>
          <w:color w:val="000000" w:themeColor="text1"/>
          <w:sz w:val="20"/>
          <w:szCs w:val="16"/>
        </w:rPr>
        <w:t xml:space="preserve"> is as follows:</w:t>
      </w:r>
    </w:p>
    <w:p w14:paraId="419A73D7" w14:textId="77777777" w:rsidR="00786743" w:rsidRPr="00786743" w:rsidRDefault="00786743" w:rsidP="00786743">
      <w:pPr>
        <w:pStyle w:val="NoSpacing"/>
        <w:ind w:left="360"/>
        <w:jc w:val="both"/>
        <w:rPr>
          <w:rFonts w:ascii="Tahoma" w:hAnsi="Tahoma" w:cs="Tahoma"/>
          <w:color w:val="000000" w:themeColor="text1"/>
          <w:sz w:val="20"/>
          <w:szCs w:val="16"/>
        </w:rPr>
      </w:pPr>
    </w:p>
    <w:p w14:paraId="5D5ADDD0" w14:textId="77777777" w:rsidR="00786743" w:rsidRDefault="00786743" w:rsidP="00786743">
      <w:pPr>
        <w:pStyle w:val="NoSpacing"/>
        <w:ind w:left="360"/>
        <w:jc w:val="both"/>
        <w:rPr>
          <w:rFonts w:ascii="Tahoma" w:hAnsi="Tahoma" w:cs="Tahoma"/>
          <w:color w:val="000000" w:themeColor="text1"/>
          <w:sz w:val="20"/>
          <w:szCs w:val="16"/>
        </w:rPr>
      </w:pPr>
      <w:r w:rsidRPr="00786743">
        <w:rPr>
          <w:rFonts w:ascii="Tahoma" w:hAnsi="Tahoma" w:cs="Tahoma"/>
          <w:color w:val="000000" w:themeColor="text1"/>
          <w:sz w:val="20"/>
          <w:szCs w:val="16"/>
        </w:rPr>
        <w:t>The standard of prudence to be used by investment officials shall be the “Prudent Person” standard and shall be applied in the context of managing an overall portfolio under prevailing economic conditions at the moment of investment commitments.  Investment officers acting in accordance with written procedures and the investment policy and exercising due diligence, shall be relieved of personal responsibility for an individual security’s credit risk or market price changes, provided deviations from expectations are reported in a timely fashion and appropriate action is taken to control adverse developments.</w:t>
      </w:r>
    </w:p>
    <w:p w14:paraId="01FC652F" w14:textId="77777777" w:rsidR="00070C7C" w:rsidRPr="00500C8D" w:rsidRDefault="00070C7C" w:rsidP="000433FA">
      <w:pPr>
        <w:pStyle w:val="NoSpacing"/>
      </w:pPr>
    </w:p>
    <w:p w14:paraId="4AC26FC6" w14:textId="77777777" w:rsidR="00AE7F06" w:rsidRPr="00500C8D" w:rsidRDefault="002C7AB0" w:rsidP="007D6754">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t xml:space="preserve">11.  </w:t>
      </w:r>
      <w:r w:rsidR="00AE7F06" w:rsidRPr="00500C8D">
        <w:rPr>
          <w:rFonts w:ascii="Tahoma" w:hAnsi="Tahoma" w:cs="Tahoma"/>
          <w:b/>
          <w:bCs/>
          <w:color w:val="000000" w:themeColor="text1"/>
          <w:sz w:val="20"/>
          <w:szCs w:val="16"/>
        </w:rPr>
        <w:t>Ethics and Conflicts of Interest</w:t>
      </w:r>
    </w:p>
    <w:p w14:paraId="2046E583" w14:textId="77777777" w:rsidR="00AE7F06" w:rsidRPr="00500C8D" w:rsidRDefault="00AE7F06" w:rsidP="007D6754">
      <w:pPr>
        <w:pStyle w:val="NoSpacing"/>
        <w:ind w:left="0"/>
        <w:jc w:val="both"/>
        <w:rPr>
          <w:rFonts w:ascii="Tahoma" w:hAnsi="Tahoma" w:cs="Tahoma"/>
          <w:color w:val="000000" w:themeColor="text1"/>
          <w:sz w:val="20"/>
          <w:szCs w:val="16"/>
        </w:rPr>
      </w:pPr>
      <w:r w:rsidRPr="00500C8D">
        <w:rPr>
          <w:rFonts w:ascii="Tahoma" w:hAnsi="Tahoma" w:cs="Tahoma"/>
          <w:bCs/>
          <w:color w:val="000000" w:themeColor="text1"/>
          <w:sz w:val="20"/>
          <w:szCs w:val="38"/>
        </w:rPr>
        <w:t>[State law, etc.]</w:t>
      </w:r>
      <w:r w:rsidRPr="00500C8D">
        <w:rPr>
          <w:rFonts w:ascii="Tahoma" w:hAnsi="Tahoma" w:cs="Tahoma"/>
          <w:color w:val="000000" w:themeColor="text1"/>
          <w:sz w:val="20"/>
          <w:szCs w:val="16"/>
        </w:rPr>
        <w:t xml:space="preserve">  mandates that the [designated official</w:t>
      </w:r>
      <w:r w:rsidR="007A7CBB">
        <w:rPr>
          <w:rFonts w:ascii="Tahoma" w:hAnsi="Tahoma" w:cs="Tahoma"/>
          <w:color w:val="000000" w:themeColor="text1"/>
          <w:sz w:val="20"/>
          <w:szCs w:val="16"/>
        </w:rPr>
        <w:t>]</w:t>
      </w:r>
      <w:r w:rsidRPr="00500C8D">
        <w:rPr>
          <w:rFonts w:ascii="Tahoma" w:hAnsi="Tahoma" w:cs="Tahoma"/>
          <w:color w:val="000000" w:themeColor="text1"/>
          <w:sz w:val="20"/>
          <w:szCs w:val="16"/>
        </w:rPr>
        <w:t xml:space="preserve"> file an annual Statement of Financial Disclosure form with the [governing authority, etc.]. Additionally, officers and employees involved in the investment process shall refrain from personal business activity that could conflict with proper execution of the investment program, or which could impair their ability to make impartial investment decisions. </w:t>
      </w:r>
      <w:r w:rsidR="00231EDC" w:rsidRPr="00231EDC">
        <w:rPr>
          <w:rFonts w:ascii="Tahoma" w:hAnsi="Tahoma" w:cs="Tahoma"/>
          <w:color w:val="000000" w:themeColor="text1"/>
          <w:sz w:val="20"/>
          <w:szCs w:val="16"/>
        </w:rPr>
        <w:t>Investment officials shall disclose to the [designated official] any material financial interests in financial institutions that conduct business with the [entity], and they will further disclose any personal financial or investment positions that could be related to the performance of the [entity’s] portfolio, particularly with regard to the timing of purchases and sales.</w:t>
      </w:r>
      <w:r w:rsidR="00231EDC">
        <w:rPr>
          <w:rFonts w:ascii="Tahoma" w:hAnsi="Tahoma" w:cs="Tahoma"/>
          <w:color w:val="000000" w:themeColor="text1"/>
          <w:sz w:val="20"/>
          <w:szCs w:val="16"/>
        </w:rPr>
        <w:t xml:space="preserve"> </w:t>
      </w:r>
    </w:p>
    <w:p w14:paraId="5ADF9041" w14:textId="77777777" w:rsidR="00AE7F06" w:rsidRDefault="00AE7F06" w:rsidP="007D6754">
      <w:pPr>
        <w:pStyle w:val="NoSpacing"/>
        <w:ind w:left="0"/>
        <w:jc w:val="both"/>
        <w:rPr>
          <w:rFonts w:ascii="Tahoma" w:hAnsi="Tahoma" w:cs="Tahoma"/>
          <w:color w:val="000000" w:themeColor="text1"/>
          <w:sz w:val="20"/>
          <w:szCs w:val="16"/>
        </w:rPr>
      </w:pPr>
    </w:p>
    <w:p w14:paraId="4DADFA42" w14:textId="77777777" w:rsidR="007D6754" w:rsidRPr="00500C8D" w:rsidRDefault="002C7AB0" w:rsidP="007D6754">
      <w:pPr>
        <w:pStyle w:val="NoSpacing"/>
        <w:ind w:left="0"/>
        <w:jc w:val="both"/>
        <w:rPr>
          <w:rFonts w:ascii="Tahoma" w:hAnsi="Tahoma" w:cs="Tahoma"/>
          <w:b/>
          <w:bCs/>
          <w:color w:val="000000" w:themeColor="text1"/>
          <w:sz w:val="20"/>
        </w:rPr>
      </w:pPr>
      <w:r>
        <w:rPr>
          <w:rFonts w:ascii="Tahoma" w:hAnsi="Tahoma" w:cs="Tahoma"/>
          <w:b/>
          <w:bCs/>
          <w:color w:val="000000" w:themeColor="text1"/>
          <w:sz w:val="20"/>
        </w:rPr>
        <w:t xml:space="preserve">12.  </w:t>
      </w:r>
      <w:r w:rsidR="007D6754" w:rsidRPr="00500C8D">
        <w:rPr>
          <w:rFonts w:ascii="Tahoma" w:hAnsi="Tahoma" w:cs="Tahoma"/>
          <w:b/>
          <w:bCs/>
          <w:color w:val="000000" w:themeColor="text1"/>
          <w:sz w:val="20"/>
        </w:rPr>
        <w:t xml:space="preserve">Limit on Receipt of </w:t>
      </w:r>
      <w:r w:rsidR="00524390">
        <w:rPr>
          <w:rFonts w:ascii="Tahoma" w:hAnsi="Tahoma" w:cs="Tahoma"/>
          <w:b/>
          <w:bCs/>
          <w:color w:val="000000" w:themeColor="text1"/>
          <w:sz w:val="20"/>
        </w:rPr>
        <w:t xml:space="preserve">Gifts, </w:t>
      </w:r>
      <w:r w:rsidR="007D6754" w:rsidRPr="00500C8D">
        <w:rPr>
          <w:rFonts w:ascii="Tahoma" w:hAnsi="Tahoma" w:cs="Tahoma"/>
          <w:b/>
          <w:bCs/>
          <w:color w:val="000000" w:themeColor="text1"/>
          <w:sz w:val="20"/>
        </w:rPr>
        <w:t xml:space="preserve">Honoraria, and Gratuities </w:t>
      </w:r>
    </w:p>
    <w:p w14:paraId="26669E5B" w14:textId="77777777" w:rsidR="007D6754" w:rsidRPr="00500C8D" w:rsidRDefault="007D6754" w:rsidP="007D6754">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No individual responsible for the management of the [entity’s] investment portfolio or any member of the Investment Program Oversight Committee shall accept honoraria, gifts or gratuities from any advisor, broker, dealer, banker or other person with whom the [designated official] conducts business, that aggregate in value in excess of [dollar amount] in any fiscal year.  </w:t>
      </w:r>
    </w:p>
    <w:p w14:paraId="49D5BD82" w14:textId="77777777" w:rsidR="00AE7F06" w:rsidRPr="00500C8D" w:rsidRDefault="00AE7F06" w:rsidP="007D6754">
      <w:pPr>
        <w:pStyle w:val="NoSpacing"/>
        <w:ind w:left="0"/>
        <w:jc w:val="both"/>
        <w:rPr>
          <w:rFonts w:ascii="Tahoma" w:hAnsi="Tahoma" w:cs="Tahoma"/>
          <w:color w:val="000000" w:themeColor="text1"/>
          <w:sz w:val="20"/>
        </w:rPr>
      </w:pPr>
    </w:p>
    <w:p w14:paraId="27D403C3" w14:textId="77777777" w:rsidR="00EE5B67" w:rsidRPr="00500C8D" w:rsidRDefault="002C7AB0" w:rsidP="00EE5B67">
      <w:pPr>
        <w:pStyle w:val="NoSpacing"/>
        <w:ind w:left="0"/>
        <w:rPr>
          <w:rFonts w:ascii="Tahoma" w:hAnsi="Tahoma" w:cs="Tahoma"/>
          <w:b/>
          <w:bCs/>
          <w:color w:val="000000" w:themeColor="text1"/>
          <w:sz w:val="20"/>
          <w:szCs w:val="16"/>
        </w:rPr>
      </w:pPr>
      <w:r>
        <w:rPr>
          <w:rFonts w:ascii="Tahoma" w:hAnsi="Tahoma" w:cs="Tahoma"/>
          <w:b/>
          <w:bCs/>
          <w:color w:val="000000" w:themeColor="text1"/>
          <w:sz w:val="20"/>
          <w:szCs w:val="16"/>
        </w:rPr>
        <w:t xml:space="preserve">13.  </w:t>
      </w:r>
      <w:r w:rsidR="00EE5B67" w:rsidRPr="00500C8D">
        <w:rPr>
          <w:rFonts w:ascii="Tahoma" w:hAnsi="Tahoma" w:cs="Tahoma"/>
          <w:b/>
          <w:bCs/>
          <w:color w:val="000000" w:themeColor="text1"/>
          <w:sz w:val="20"/>
          <w:szCs w:val="16"/>
        </w:rPr>
        <w:t xml:space="preserve">Investment Procedures  </w:t>
      </w:r>
    </w:p>
    <w:p w14:paraId="0BA11A06" w14:textId="77777777" w:rsidR="00EE5B67" w:rsidRPr="00500C8D" w:rsidRDefault="00EE5B67" w:rsidP="00EE5B67">
      <w:pPr>
        <w:pStyle w:val="NoSpacing"/>
        <w:ind w:left="0"/>
        <w:jc w:val="both"/>
        <w:rPr>
          <w:rFonts w:ascii="Tahoma" w:hAnsi="Tahoma" w:cs="Tahoma"/>
          <w:color w:val="000000" w:themeColor="text1"/>
          <w:sz w:val="20"/>
          <w:szCs w:val="16"/>
        </w:rPr>
      </w:pPr>
      <w:r w:rsidRPr="00500C8D">
        <w:rPr>
          <w:rFonts w:ascii="Tahoma" w:hAnsi="Tahoma" w:cs="Tahoma"/>
          <w:color w:val="000000" w:themeColor="text1"/>
          <w:sz w:val="20"/>
          <w:szCs w:val="16"/>
        </w:rPr>
        <w:t>The [designated official], authorized [entity] staff, and authorized investment advisors will have written Investment Procedures for the operation of the investment program.  The procedures include such items as delegation of duties/authority, reconciliation, trade settlement, investment strategy/selectio</w:t>
      </w:r>
      <w:r w:rsidR="00231EDC">
        <w:rPr>
          <w:rFonts w:ascii="Tahoma" w:hAnsi="Tahoma" w:cs="Tahoma"/>
          <w:color w:val="000000" w:themeColor="text1"/>
          <w:sz w:val="20"/>
          <w:szCs w:val="16"/>
        </w:rPr>
        <w:t xml:space="preserve">n, broker/dealer selection, </w:t>
      </w:r>
      <w:r w:rsidR="00B44D25">
        <w:rPr>
          <w:rFonts w:ascii="Tahoma" w:hAnsi="Tahoma" w:cs="Tahoma"/>
          <w:color w:val="000000" w:themeColor="text1"/>
          <w:sz w:val="20"/>
          <w:szCs w:val="16"/>
        </w:rPr>
        <w:t xml:space="preserve">compliance monitoring, </w:t>
      </w:r>
      <w:r w:rsidRPr="00500C8D">
        <w:rPr>
          <w:rFonts w:ascii="Tahoma" w:hAnsi="Tahoma" w:cs="Tahoma"/>
          <w:color w:val="000000" w:themeColor="text1"/>
          <w:sz w:val="20"/>
          <w:szCs w:val="16"/>
        </w:rPr>
        <w:t>internal controls</w:t>
      </w:r>
      <w:r w:rsidR="00B44D25">
        <w:rPr>
          <w:rFonts w:ascii="Tahoma" w:hAnsi="Tahoma" w:cs="Tahoma"/>
          <w:color w:val="000000" w:themeColor="text1"/>
          <w:sz w:val="20"/>
          <w:szCs w:val="16"/>
        </w:rPr>
        <w:t>, and risk mitigation strategies</w:t>
      </w:r>
      <w:r w:rsidRPr="00500C8D">
        <w:rPr>
          <w:rFonts w:ascii="Tahoma" w:hAnsi="Tahoma" w:cs="Tahoma"/>
          <w:color w:val="000000" w:themeColor="text1"/>
          <w:sz w:val="20"/>
          <w:szCs w:val="16"/>
        </w:rPr>
        <w:t xml:space="preserve">. </w:t>
      </w:r>
    </w:p>
    <w:p w14:paraId="3E7004EA" w14:textId="77777777" w:rsidR="00EE5B67" w:rsidRPr="00500C8D" w:rsidRDefault="00EE5B67" w:rsidP="00EE5B67">
      <w:pPr>
        <w:pStyle w:val="NoSpacing"/>
        <w:ind w:left="0"/>
        <w:jc w:val="both"/>
        <w:rPr>
          <w:rFonts w:ascii="Tahoma" w:hAnsi="Tahoma" w:cs="Tahoma"/>
          <w:color w:val="000000" w:themeColor="text1"/>
          <w:sz w:val="20"/>
          <w:szCs w:val="16"/>
        </w:rPr>
      </w:pPr>
    </w:p>
    <w:p w14:paraId="6A794957" w14:textId="77777777" w:rsidR="00673E22" w:rsidRPr="00500C8D" w:rsidRDefault="002C7AB0" w:rsidP="00673E22">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t xml:space="preserve">14.  </w:t>
      </w:r>
      <w:r w:rsidR="00673E22" w:rsidRPr="00500C8D">
        <w:rPr>
          <w:rFonts w:ascii="Tahoma" w:hAnsi="Tahoma" w:cs="Tahoma"/>
          <w:b/>
          <w:bCs/>
          <w:color w:val="000000" w:themeColor="text1"/>
          <w:sz w:val="20"/>
          <w:szCs w:val="16"/>
        </w:rPr>
        <w:t xml:space="preserve">Internal Controls </w:t>
      </w:r>
    </w:p>
    <w:p w14:paraId="49FF819F" w14:textId="77777777" w:rsidR="00673E22" w:rsidRPr="00500C8D" w:rsidRDefault="00673E22" w:rsidP="00673E22">
      <w:pPr>
        <w:pStyle w:val="NoSpacing"/>
        <w:ind w:left="0"/>
        <w:jc w:val="both"/>
        <w:rPr>
          <w:rFonts w:ascii="Tahoma" w:hAnsi="Tahoma" w:cs="Tahoma"/>
          <w:color w:val="000000" w:themeColor="text1"/>
          <w:sz w:val="20"/>
          <w:szCs w:val="16"/>
        </w:rPr>
      </w:pPr>
      <w:r w:rsidRPr="00500C8D">
        <w:rPr>
          <w:rFonts w:ascii="Tahoma" w:hAnsi="Tahoma" w:cs="Tahoma"/>
          <w:color w:val="000000" w:themeColor="text1"/>
          <w:sz w:val="20"/>
          <w:szCs w:val="16"/>
        </w:rPr>
        <w:t xml:space="preserve">The [designated official] has established a system of internal controls over investments.  The internal controls have been reviewed by the [entity’s] internal audit division.  The controls are designed to prevent losses of public funds arising from fraud, employee error, misrepresentation by third parties, or imprudent actions by staff and [entity] officials.  </w:t>
      </w:r>
    </w:p>
    <w:p w14:paraId="6A1C83A1" w14:textId="77777777" w:rsidR="00673E22" w:rsidRPr="00500C8D" w:rsidRDefault="00673E22" w:rsidP="00673E22">
      <w:pPr>
        <w:pStyle w:val="NoSpacing"/>
        <w:ind w:left="0"/>
        <w:jc w:val="both"/>
        <w:rPr>
          <w:rFonts w:ascii="Tahoma" w:hAnsi="Tahoma" w:cs="Tahoma"/>
          <w:color w:val="000000" w:themeColor="text1"/>
          <w:sz w:val="20"/>
          <w:szCs w:val="16"/>
        </w:rPr>
      </w:pPr>
    </w:p>
    <w:p w14:paraId="62F2B3A5" w14:textId="77777777" w:rsidR="00673E22" w:rsidRPr="00500C8D" w:rsidRDefault="002C7AB0" w:rsidP="00673E22">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t xml:space="preserve">15.  </w:t>
      </w:r>
      <w:r w:rsidR="00673E22" w:rsidRPr="00500C8D">
        <w:rPr>
          <w:rFonts w:ascii="Tahoma" w:hAnsi="Tahoma" w:cs="Tahoma"/>
          <w:b/>
          <w:bCs/>
          <w:color w:val="000000" w:themeColor="text1"/>
          <w:sz w:val="20"/>
          <w:szCs w:val="16"/>
        </w:rPr>
        <w:t xml:space="preserve">Internal and External Audit </w:t>
      </w:r>
    </w:p>
    <w:p w14:paraId="13E299F6" w14:textId="77777777" w:rsidR="00673E22" w:rsidRPr="00500C8D" w:rsidRDefault="00673E22" w:rsidP="00673E22">
      <w:pPr>
        <w:pStyle w:val="NoSpacing"/>
        <w:ind w:left="0"/>
        <w:jc w:val="both"/>
        <w:rPr>
          <w:rFonts w:ascii="Tahoma" w:hAnsi="Tahoma" w:cs="Tahoma"/>
          <w:color w:val="000000" w:themeColor="text1"/>
          <w:sz w:val="20"/>
          <w:szCs w:val="16"/>
        </w:rPr>
      </w:pPr>
      <w:r w:rsidRPr="00500C8D">
        <w:rPr>
          <w:rFonts w:ascii="Tahoma" w:hAnsi="Tahoma" w:cs="Tahoma"/>
          <w:color w:val="000000" w:themeColor="text1"/>
          <w:sz w:val="20"/>
          <w:szCs w:val="16"/>
        </w:rPr>
        <w:t xml:space="preserve">The custodian/safekeeping account, investment transactions, and records may be audited by internal auditors independent of the [designated official] and/or by outside independent auditors with a frequency prescribed by the [governing body]. The results of that audit shall be furnished to the </w:t>
      </w:r>
      <w:r w:rsidR="00B44D25">
        <w:rPr>
          <w:rFonts w:ascii="Tahoma" w:hAnsi="Tahoma" w:cs="Tahoma"/>
          <w:color w:val="000000" w:themeColor="text1"/>
          <w:sz w:val="20"/>
          <w:szCs w:val="16"/>
        </w:rPr>
        <w:t>[governing body] and the IPOC</w:t>
      </w:r>
      <w:r w:rsidRPr="00500C8D">
        <w:rPr>
          <w:rFonts w:ascii="Tahoma" w:hAnsi="Tahoma" w:cs="Tahoma"/>
          <w:color w:val="000000" w:themeColor="text1"/>
          <w:sz w:val="20"/>
          <w:szCs w:val="16"/>
        </w:rPr>
        <w:t>.</w:t>
      </w:r>
    </w:p>
    <w:p w14:paraId="77391DBF" w14:textId="77777777" w:rsidR="00673E22" w:rsidRDefault="00673E22" w:rsidP="00673E22">
      <w:pPr>
        <w:pStyle w:val="NoSpacing"/>
        <w:ind w:left="0"/>
        <w:jc w:val="both"/>
        <w:rPr>
          <w:rFonts w:ascii="Tahoma" w:hAnsi="Tahoma" w:cs="Tahoma"/>
          <w:color w:val="000000" w:themeColor="text1"/>
          <w:sz w:val="20"/>
          <w:szCs w:val="16"/>
        </w:rPr>
      </w:pPr>
    </w:p>
    <w:p w14:paraId="65372F1B" w14:textId="77777777" w:rsidR="00086CCE" w:rsidRDefault="00086CCE" w:rsidP="00673E22">
      <w:pPr>
        <w:pStyle w:val="NoSpacing"/>
        <w:ind w:left="0"/>
        <w:jc w:val="both"/>
        <w:rPr>
          <w:rFonts w:ascii="Tahoma" w:hAnsi="Tahoma" w:cs="Tahoma"/>
          <w:color w:val="000000" w:themeColor="text1"/>
          <w:sz w:val="20"/>
          <w:szCs w:val="16"/>
        </w:rPr>
      </w:pPr>
    </w:p>
    <w:p w14:paraId="11170F6E" w14:textId="77777777" w:rsidR="00673E22" w:rsidRPr="00500C8D" w:rsidRDefault="002C7AB0" w:rsidP="00673E22">
      <w:pPr>
        <w:pStyle w:val="NoSpacing"/>
        <w:ind w:left="0"/>
        <w:jc w:val="both"/>
        <w:rPr>
          <w:rFonts w:ascii="Tahoma" w:hAnsi="Tahoma" w:cs="Tahoma"/>
          <w:b/>
          <w:bCs/>
          <w:color w:val="000000" w:themeColor="text1"/>
          <w:sz w:val="20"/>
          <w:szCs w:val="16"/>
        </w:rPr>
      </w:pPr>
      <w:r>
        <w:rPr>
          <w:rFonts w:ascii="Tahoma" w:hAnsi="Tahoma" w:cs="Tahoma"/>
          <w:b/>
          <w:bCs/>
          <w:color w:val="000000" w:themeColor="text1"/>
          <w:sz w:val="20"/>
          <w:szCs w:val="16"/>
        </w:rPr>
        <w:lastRenderedPageBreak/>
        <w:t xml:space="preserve">16.  </w:t>
      </w:r>
      <w:r w:rsidR="00673E22" w:rsidRPr="00500C8D">
        <w:rPr>
          <w:rFonts w:ascii="Tahoma" w:hAnsi="Tahoma" w:cs="Tahoma"/>
          <w:b/>
          <w:bCs/>
          <w:color w:val="000000" w:themeColor="text1"/>
          <w:sz w:val="20"/>
          <w:szCs w:val="16"/>
        </w:rPr>
        <w:t>Safekeeping and Custody</w:t>
      </w:r>
    </w:p>
    <w:p w14:paraId="3CB7A2A9" w14:textId="77777777" w:rsidR="00673E22" w:rsidRPr="00500C8D" w:rsidRDefault="00673E22" w:rsidP="00673E22">
      <w:pPr>
        <w:pStyle w:val="NoSpacing"/>
        <w:ind w:left="0"/>
        <w:jc w:val="both"/>
        <w:rPr>
          <w:rFonts w:ascii="Tahoma" w:hAnsi="Tahoma" w:cs="Tahoma"/>
          <w:color w:val="000000" w:themeColor="text1"/>
          <w:sz w:val="20"/>
          <w:szCs w:val="16"/>
        </w:rPr>
      </w:pPr>
      <w:r w:rsidRPr="00500C8D">
        <w:rPr>
          <w:rFonts w:ascii="Tahoma" w:hAnsi="Tahoma" w:cs="Tahoma"/>
          <w:color w:val="000000" w:themeColor="text1"/>
          <w:sz w:val="20"/>
          <w:szCs w:val="16"/>
        </w:rPr>
        <w:t xml:space="preserve">Securities purchased by the </w:t>
      </w:r>
      <w:r w:rsidR="00EE0FD4" w:rsidRPr="00500C8D">
        <w:rPr>
          <w:rFonts w:ascii="Tahoma" w:hAnsi="Tahoma" w:cs="Tahoma"/>
          <w:color w:val="000000" w:themeColor="text1"/>
          <w:sz w:val="20"/>
          <w:szCs w:val="16"/>
        </w:rPr>
        <w:t>[en</w:t>
      </w:r>
      <w:r w:rsidR="00D376A5" w:rsidRPr="00500C8D">
        <w:rPr>
          <w:rFonts w:ascii="Tahoma" w:hAnsi="Tahoma" w:cs="Tahoma"/>
          <w:color w:val="000000" w:themeColor="text1"/>
          <w:sz w:val="20"/>
          <w:szCs w:val="16"/>
        </w:rPr>
        <w:t>tit</w:t>
      </w:r>
      <w:r w:rsidR="00EE0FD4" w:rsidRPr="00500C8D">
        <w:rPr>
          <w:rFonts w:ascii="Tahoma" w:hAnsi="Tahoma" w:cs="Tahoma"/>
          <w:color w:val="000000" w:themeColor="text1"/>
          <w:sz w:val="20"/>
          <w:szCs w:val="16"/>
        </w:rPr>
        <w:t>y]</w:t>
      </w:r>
      <w:r w:rsidRPr="00500C8D">
        <w:rPr>
          <w:rFonts w:ascii="Tahoma" w:hAnsi="Tahoma" w:cs="Tahoma"/>
          <w:color w:val="000000" w:themeColor="text1"/>
          <w:sz w:val="20"/>
          <w:szCs w:val="16"/>
        </w:rPr>
        <w:t xml:space="preserve"> shall be delivered against payment (delivery vs. payment) and held in a custodial safekeeping account with the trust department of a third party bank insured by the Federal Deposit Insurance Corporation designated by the </w:t>
      </w:r>
      <w:r w:rsidR="00EE0FD4" w:rsidRPr="00500C8D">
        <w:rPr>
          <w:rFonts w:ascii="Tahoma" w:hAnsi="Tahoma" w:cs="Tahoma"/>
          <w:color w:val="000000" w:themeColor="text1"/>
          <w:sz w:val="20"/>
          <w:szCs w:val="16"/>
        </w:rPr>
        <w:t>[designated official]</w:t>
      </w:r>
      <w:r w:rsidRPr="00500C8D">
        <w:rPr>
          <w:rFonts w:ascii="Tahoma" w:hAnsi="Tahoma" w:cs="Tahoma"/>
          <w:color w:val="000000" w:themeColor="text1"/>
          <w:sz w:val="20"/>
          <w:szCs w:val="16"/>
        </w:rPr>
        <w:t xml:space="preserve"> for this purpose in accordance with </w:t>
      </w:r>
      <w:r w:rsidR="00EE0FD4" w:rsidRPr="00500C8D">
        <w:rPr>
          <w:rFonts w:ascii="Tahoma" w:hAnsi="Tahoma" w:cs="Tahoma"/>
          <w:bCs/>
          <w:color w:val="000000" w:themeColor="text1"/>
          <w:sz w:val="20"/>
          <w:szCs w:val="38"/>
        </w:rPr>
        <w:t>[state law, etc.]</w:t>
      </w:r>
      <w:r w:rsidRPr="00500C8D">
        <w:rPr>
          <w:rFonts w:ascii="Tahoma" w:hAnsi="Tahoma" w:cs="Tahoma"/>
          <w:color w:val="000000" w:themeColor="text1"/>
          <w:sz w:val="20"/>
          <w:szCs w:val="16"/>
        </w:rPr>
        <w:t xml:space="preserve">. A custody agreement between the bank and the </w:t>
      </w:r>
      <w:r w:rsidR="00EE0FD4" w:rsidRPr="00500C8D">
        <w:rPr>
          <w:rFonts w:ascii="Tahoma" w:hAnsi="Tahoma" w:cs="Tahoma"/>
          <w:color w:val="000000" w:themeColor="text1"/>
          <w:sz w:val="20"/>
          <w:szCs w:val="16"/>
        </w:rPr>
        <w:t xml:space="preserve">[entity] </w:t>
      </w:r>
      <w:r w:rsidRPr="00500C8D">
        <w:rPr>
          <w:rFonts w:ascii="Tahoma" w:hAnsi="Tahoma" w:cs="Tahoma"/>
          <w:color w:val="000000" w:themeColor="text1"/>
          <w:sz w:val="20"/>
          <w:szCs w:val="16"/>
        </w:rPr>
        <w:t>is required before execution of any transactions.</w:t>
      </w:r>
    </w:p>
    <w:p w14:paraId="6BE813F8" w14:textId="77777777" w:rsidR="00D376A5" w:rsidRPr="00500C8D" w:rsidRDefault="00D376A5" w:rsidP="00673E22">
      <w:pPr>
        <w:pStyle w:val="NoSpacing"/>
        <w:ind w:left="0"/>
        <w:jc w:val="both"/>
        <w:rPr>
          <w:rFonts w:ascii="Tahoma" w:hAnsi="Tahoma" w:cs="Tahoma"/>
          <w:color w:val="000000" w:themeColor="text1"/>
          <w:sz w:val="20"/>
          <w:szCs w:val="16"/>
        </w:rPr>
      </w:pPr>
    </w:p>
    <w:p w14:paraId="4153047C" w14:textId="77777777" w:rsidR="00D376A5" w:rsidRPr="00500C8D" w:rsidRDefault="002C7AB0" w:rsidP="00D376A5">
      <w:pPr>
        <w:pStyle w:val="NoSpacing"/>
        <w:ind w:left="0"/>
        <w:rPr>
          <w:rFonts w:ascii="Tahoma" w:hAnsi="Tahoma" w:cs="Tahoma"/>
          <w:b/>
          <w:bCs/>
          <w:color w:val="000000" w:themeColor="text1"/>
          <w:sz w:val="20"/>
          <w:szCs w:val="16"/>
        </w:rPr>
      </w:pPr>
      <w:r>
        <w:rPr>
          <w:rFonts w:ascii="Tahoma" w:hAnsi="Tahoma" w:cs="Tahoma"/>
          <w:b/>
          <w:bCs/>
          <w:color w:val="000000" w:themeColor="text1"/>
          <w:sz w:val="20"/>
          <w:szCs w:val="16"/>
        </w:rPr>
        <w:t xml:space="preserve">17.  </w:t>
      </w:r>
      <w:r w:rsidR="00D376A5" w:rsidRPr="00500C8D">
        <w:rPr>
          <w:rFonts w:ascii="Tahoma" w:hAnsi="Tahoma" w:cs="Tahoma"/>
          <w:b/>
          <w:bCs/>
          <w:color w:val="000000" w:themeColor="text1"/>
          <w:sz w:val="20"/>
          <w:szCs w:val="16"/>
        </w:rPr>
        <w:t>Authorized Investments (Pursuant to applicable state laws, etc.)</w:t>
      </w:r>
    </w:p>
    <w:p w14:paraId="28DFD866" w14:textId="77777777" w:rsidR="00D376A5" w:rsidRPr="00500C8D" w:rsidRDefault="00D376A5" w:rsidP="00D376A5">
      <w:pPr>
        <w:pStyle w:val="NoSpacing"/>
        <w:ind w:left="0"/>
        <w:rPr>
          <w:rFonts w:ascii="Tahoma" w:hAnsi="Tahoma" w:cs="Tahoma"/>
          <w:color w:val="000000" w:themeColor="text1"/>
          <w:sz w:val="20"/>
          <w:szCs w:val="16"/>
        </w:rPr>
      </w:pPr>
    </w:p>
    <w:p w14:paraId="2E7D823E" w14:textId="77777777" w:rsidR="00D376A5" w:rsidRPr="00500C8D" w:rsidRDefault="00D376A5" w:rsidP="00D376A5">
      <w:pPr>
        <w:pStyle w:val="NoSpacing"/>
        <w:ind w:left="0"/>
        <w:rPr>
          <w:rFonts w:ascii="Tahoma" w:hAnsi="Tahoma" w:cs="Tahoma"/>
          <w:color w:val="000000" w:themeColor="text1"/>
          <w:sz w:val="20"/>
          <w:szCs w:val="16"/>
        </w:rPr>
      </w:pPr>
      <w:r w:rsidRPr="00500C8D">
        <w:rPr>
          <w:rFonts w:ascii="Tahoma" w:hAnsi="Tahoma" w:cs="Tahoma"/>
          <w:color w:val="000000" w:themeColor="text1"/>
          <w:sz w:val="20"/>
          <w:szCs w:val="16"/>
        </w:rPr>
        <w:t>The [entity] may only invest in the following securities:</w:t>
      </w:r>
    </w:p>
    <w:p w14:paraId="1FFA5F6A" w14:textId="77777777" w:rsidR="00D376A5" w:rsidRPr="00500C8D" w:rsidRDefault="00D376A5" w:rsidP="00D376A5">
      <w:pPr>
        <w:pStyle w:val="NoSpacing"/>
        <w:ind w:left="0"/>
        <w:rPr>
          <w:rFonts w:ascii="Tahoma" w:hAnsi="Tahoma" w:cs="Tahoma"/>
          <w:color w:val="000000" w:themeColor="text1"/>
          <w:sz w:val="20"/>
          <w:szCs w:val="16"/>
        </w:rPr>
      </w:pPr>
    </w:p>
    <w:p w14:paraId="632B25A5" w14:textId="77777777" w:rsidR="00D376A5" w:rsidRPr="00500C8D" w:rsidRDefault="00D376A5" w:rsidP="00D376A5">
      <w:pPr>
        <w:pStyle w:val="NoSpacing"/>
        <w:ind w:left="0"/>
        <w:rPr>
          <w:rFonts w:ascii="Tahoma" w:hAnsi="Tahoma" w:cs="Tahoma"/>
          <w:i/>
          <w:iCs/>
          <w:color w:val="000000" w:themeColor="text1"/>
          <w:sz w:val="20"/>
          <w:szCs w:val="16"/>
        </w:rPr>
      </w:pPr>
      <w:r w:rsidRPr="00500C8D">
        <w:rPr>
          <w:rFonts w:ascii="Tahoma" w:hAnsi="Tahoma" w:cs="Tahoma"/>
          <w:i/>
          <w:iCs/>
          <w:color w:val="000000" w:themeColor="text1"/>
          <w:sz w:val="20"/>
          <w:szCs w:val="16"/>
        </w:rPr>
        <w:t>(Below are examples for U.S. Treasur</w:t>
      </w:r>
      <w:r w:rsidR="00961098" w:rsidRPr="00500C8D">
        <w:rPr>
          <w:rFonts w:ascii="Tahoma" w:hAnsi="Tahoma" w:cs="Tahoma"/>
          <w:i/>
          <w:iCs/>
          <w:color w:val="000000" w:themeColor="text1"/>
          <w:sz w:val="20"/>
          <w:szCs w:val="16"/>
        </w:rPr>
        <w:t xml:space="preserve">y, </w:t>
      </w:r>
      <w:r w:rsidR="00231EDC">
        <w:rPr>
          <w:rFonts w:ascii="Tahoma" w:hAnsi="Tahoma" w:cs="Tahoma"/>
          <w:i/>
          <w:iCs/>
          <w:color w:val="000000" w:themeColor="text1"/>
          <w:sz w:val="20"/>
          <w:szCs w:val="16"/>
        </w:rPr>
        <w:t>U.S. Government-Sponsored Enterprises</w:t>
      </w:r>
      <w:r w:rsidR="00961098" w:rsidRPr="00500C8D">
        <w:rPr>
          <w:rFonts w:ascii="Tahoma" w:hAnsi="Tahoma" w:cs="Tahoma"/>
          <w:i/>
          <w:iCs/>
          <w:color w:val="000000" w:themeColor="text1"/>
          <w:sz w:val="20"/>
          <w:szCs w:val="16"/>
        </w:rPr>
        <w:t>, and Commercial Paper</w:t>
      </w:r>
      <w:r w:rsidR="00926BC2" w:rsidRPr="00500C8D">
        <w:rPr>
          <w:rFonts w:ascii="Tahoma" w:hAnsi="Tahoma" w:cs="Tahoma"/>
          <w:i/>
          <w:iCs/>
          <w:color w:val="000000" w:themeColor="text1"/>
          <w:sz w:val="20"/>
          <w:szCs w:val="16"/>
        </w:rPr>
        <w:t xml:space="preserve"> in list form</w:t>
      </w:r>
      <w:r w:rsidR="009D6D51">
        <w:rPr>
          <w:rFonts w:ascii="Tahoma" w:hAnsi="Tahoma" w:cs="Tahoma"/>
          <w:i/>
          <w:iCs/>
          <w:color w:val="000000" w:themeColor="text1"/>
          <w:sz w:val="20"/>
          <w:szCs w:val="16"/>
        </w:rPr>
        <w:t>at</w:t>
      </w:r>
      <w:r w:rsidRPr="00500C8D">
        <w:rPr>
          <w:rFonts w:ascii="Tahoma" w:hAnsi="Tahoma" w:cs="Tahoma"/>
          <w:i/>
          <w:iCs/>
          <w:color w:val="000000" w:themeColor="text1"/>
          <w:sz w:val="20"/>
          <w:szCs w:val="16"/>
        </w:rPr>
        <w:t>)</w:t>
      </w:r>
      <w:r w:rsidR="009D6D51">
        <w:rPr>
          <w:rFonts w:ascii="Tahoma" w:hAnsi="Tahoma" w:cs="Tahoma"/>
          <w:i/>
          <w:iCs/>
          <w:color w:val="000000" w:themeColor="text1"/>
          <w:sz w:val="20"/>
          <w:szCs w:val="16"/>
        </w:rPr>
        <w:t>:</w:t>
      </w:r>
    </w:p>
    <w:p w14:paraId="0950175E" w14:textId="77777777" w:rsidR="00D376A5" w:rsidRPr="00500C8D" w:rsidRDefault="00D376A5" w:rsidP="00D376A5">
      <w:pPr>
        <w:pStyle w:val="NoSpacing"/>
        <w:rPr>
          <w:color w:val="000000" w:themeColor="text1"/>
        </w:rPr>
      </w:pPr>
    </w:p>
    <w:p w14:paraId="609D1E41" w14:textId="77777777" w:rsidR="00D376A5" w:rsidRPr="00500C8D" w:rsidRDefault="00D376A5" w:rsidP="00D376A5">
      <w:pPr>
        <w:pStyle w:val="NoSpacing"/>
        <w:ind w:left="360"/>
        <w:rPr>
          <w:rFonts w:ascii="Tahoma" w:hAnsi="Tahoma" w:cs="Tahoma"/>
          <w:b/>
          <w:bCs/>
          <w:color w:val="000000" w:themeColor="text1"/>
          <w:sz w:val="20"/>
        </w:rPr>
      </w:pPr>
      <w:r w:rsidRPr="00500C8D">
        <w:rPr>
          <w:rFonts w:ascii="Tahoma" w:hAnsi="Tahoma" w:cs="Tahoma"/>
          <w:b/>
          <w:bCs/>
          <w:color w:val="000000" w:themeColor="text1"/>
          <w:sz w:val="20"/>
        </w:rPr>
        <w:t>U.S. Treasury Obligations or backed by the full faith and credit of the United States</w:t>
      </w:r>
    </w:p>
    <w:p w14:paraId="069E8ACB"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[State Law]:</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[applicable state law, etc.</w:t>
      </w:r>
      <w:r w:rsidR="00961098" w:rsidRPr="00500C8D">
        <w:rPr>
          <w:rFonts w:ascii="Tahoma" w:hAnsi="Tahoma" w:cs="Tahoma"/>
          <w:color w:val="000000" w:themeColor="text1"/>
          <w:sz w:val="20"/>
        </w:rPr>
        <w:t xml:space="preserve"> section</w:t>
      </w:r>
      <w:r w:rsidRPr="00500C8D">
        <w:rPr>
          <w:rFonts w:ascii="Tahoma" w:hAnsi="Tahoma" w:cs="Tahoma"/>
          <w:color w:val="000000" w:themeColor="text1"/>
          <w:sz w:val="20"/>
        </w:rPr>
        <w:t>]</w:t>
      </w:r>
    </w:p>
    <w:p w14:paraId="0B3F45CC"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Maximum Term:</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10 years</w:t>
      </w:r>
    </w:p>
    <w:p w14:paraId="1565517E"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Maximum Type Allocation:</w:t>
      </w:r>
      <w:r w:rsidRPr="00500C8D">
        <w:rPr>
          <w:rFonts w:ascii="Tahoma" w:hAnsi="Tahoma" w:cs="Tahoma"/>
          <w:color w:val="000000" w:themeColor="text1"/>
          <w:sz w:val="20"/>
        </w:rPr>
        <w:tab/>
      </w:r>
      <w:r w:rsidR="00926BC2" w:rsidRPr="00500C8D">
        <w:rPr>
          <w:rFonts w:ascii="Tahoma" w:hAnsi="Tahoma" w:cs="Tahoma"/>
          <w:color w:val="000000" w:themeColor="text1"/>
          <w:sz w:val="20"/>
        </w:rPr>
        <w:tab/>
      </w:r>
      <w:r w:rsidRPr="00500C8D">
        <w:rPr>
          <w:rFonts w:ascii="Tahoma" w:hAnsi="Tahoma" w:cs="Tahoma"/>
          <w:color w:val="000000" w:themeColor="text1"/>
          <w:sz w:val="20"/>
        </w:rPr>
        <w:tab/>
        <w:t>Not applicable</w:t>
      </w:r>
    </w:p>
    <w:p w14:paraId="6AF412F5"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Maximum Issuer Concentration:</w:t>
      </w:r>
      <w:r w:rsidRPr="00500C8D">
        <w:rPr>
          <w:rFonts w:ascii="Tahoma" w:hAnsi="Tahoma" w:cs="Tahoma"/>
          <w:color w:val="000000" w:themeColor="text1"/>
          <w:sz w:val="20"/>
        </w:rPr>
        <w:tab/>
      </w:r>
      <w:r w:rsidRPr="00500C8D">
        <w:rPr>
          <w:rFonts w:ascii="Tahoma" w:hAnsi="Tahoma" w:cs="Tahoma"/>
          <w:color w:val="000000" w:themeColor="text1"/>
          <w:sz w:val="20"/>
        </w:rPr>
        <w:tab/>
        <w:t>Not applicable</w:t>
      </w:r>
    </w:p>
    <w:p w14:paraId="30882615"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Minimum Issuer Rating:</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Not applicable</w:t>
      </w:r>
    </w:p>
    <w:p w14:paraId="7229CED0" w14:textId="77777777" w:rsidR="000433FA" w:rsidRDefault="000433FA" w:rsidP="00D376A5">
      <w:pPr>
        <w:tabs>
          <w:tab w:val="left" w:pos="450"/>
        </w:tabs>
        <w:jc w:val="both"/>
        <w:rPr>
          <w:rFonts w:ascii="Tahoma" w:eastAsia="Arial" w:hAnsi="Tahoma" w:cs="Tahoma"/>
          <w:b/>
          <w:color w:val="000000" w:themeColor="text1"/>
          <w:spacing w:val="-1"/>
          <w:sz w:val="20"/>
          <w:szCs w:val="20"/>
        </w:rPr>
      </w:pPr>
    </w:p>
    <w:p w14:paraId="48F003F0" w14:textId="77777777" w:rsidR="00D376A5" w:rsidRPr="00500C8D" w:rsidRDefault="00231EDC" w:rsidP="00D376A5">
      <w:pPr>
        <w:pStyle w:val="NoSpacing"/>
        <w:ind w:left="360"/>
        <w:rPr>
          <w:rFonts w:ascii="Tahoma" w:hAnsi="Tahoma" w:cs="Tahoma"/>
          <w:b/>
          <w:bCs/>
          <w:color w:val="000000" w:themeColor="text1"/>
          <w:sz w:val="20"/>
        </w:rPr>
      </w:pPr>
      <w:r w:rsidRPr="00231EDC">
        <w:rPr>
          <w:rFonts w:ascii="Tahoma" w:hAnsi="Tahoma" w:cs="Tahoma"/>
          <w:b/>
          <w:bCs/>
          <w:color w:val="000000" w:themeColor="text1"/>
          <w:sz w:val="20"/>
        </w:rPr>
        <w:t>Obligations that are issued by any agency or instrumentality of the United States Government ( U.S. Government-Sponsored Enterprises)</w:t>
      </w:r>
      <w:r w:rsidR="00D376A5" w:rsidRPr="00500C8D">
        <w:rPr>
          <w:rFonts w:ascii="Tahoma" w:hAnsi="Tahoma" w:cs="Tahoma"/>
          <w:b/>
          <w:bCs/>
          <w:color w:val="000000" w:themeColor="text1"/>
          <w:sz w:val="20"/>
        </w:rPr>
        <w:tab/>
      </w:r>
      <w:r w:rsidR="00D376A5" w:rsidRPr="00500C8D">
        <w:rPr>
          <w:rFonts w:ascii="Tahoma" w:hAnsi="Tahoma" w:cs="Tahoma"/>
          <w:b/>
          <w:bCs/>
          <w:color w:val="000000" w:themeColor="text1"/>
          <w:sz w:val="20"/>
        </w:rPr>
        <w:tab/>
      </w:r>
      <w:r w:rsidR="00D376A5" w:rsidRPr="00500C8D">
        <w:rPr>
          <w:rFonts w:ascii="Tahoma" w:hAnsi="Tahoma" w:cs="Tahoma"/>
          <w:b/>
          <w:bCs/>
          <w:color w:val="000000" w:themeColor="text1"/>
          <w:sz w:val="20"/>
        </w:rPr>
        <w:tab/>
      </w:r>
    </w:p>
    <w:p w14:paraId="3AD3EA20" w14:textId="77777777" w:rsidR="00926BC2"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[State Law]:</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[applicable state law, etc.</w:t>
      </w:r>
      <w:r w:rsidR="00961098" w:rsidRPr="00500C8D">
        <w:rPr>
          <w:rFonts w:ascii="Tahoma" w:hAnsi="Tahoma" w:cs="Tahoma"/>
          <w:color w:val="000000" w:themeColor="text1"/>
          <w:sz w:val="20"/>
        </w:rPr>
        <w:t xml:space="preserve"> section</w:t>
      </w:r>
      <w:r w:rsidRPr="00500C8D">
        <w:rPr>
          <w:rFonts w:ascii="Tahoma" w:hAnsi="Tahoma" w:cs="Tahoma"/>
          <w:color w:val="000000" w:themeColor="text1"/>
          <w:sz w:val="20"/>
        </w:rPr>
        <w:t>]</w:t>
      </w:r>
      <w:r w:rsidRPr="00500C8D">
        <w:rPr>
          <w:rFonts w:ascii="Tahoma" w:hAnsi="Tahoma" w:cs="Tahoma"/>
          <w:color w:val="000000" w:themeColor="text1"/>
          <w:sz w:val="20"/>
        </w:rPr>
        <w:tab/>
      </w:r>
    </w:p>
    <w:p w14:paraId="6EC9A297" w14:textId="77777777" w:rsidR="00D376A5" w:rsidRPr="00500C8D" w:rsidRDefault="00926BC2"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w:t>
      </w:r>
      <w:r w:rsidR="00D376A5" w:rsidRPr="00500C8D">
        <w:rPr>
          <w:rFonts w:ascii="Tahoma" w:hAnsi="Tahoma" w:cs="Tahoma"/>
          <w:color w:val="000000" w:themeColor="text1"/>
          <w:sz w:val="20"/>
        </w:rPr>
        <w:t>aximum Term:</w:t>
      </w:r>
      <w:r w:rsidR="00D376A5" w:rsidRPr="00500C8D">
        <w:rPr>
          <w:rFonts w:ascii="Tahoma" w:hAnsi="Tahoma" w:cs="Tahoma"/>
          <w:color w:val="000000" w:themeColor="text1"/>
          <w:sz w:val="20"/>
        </w:rPr>
        <w:tab/>
      </w:r>
      <w:r w:rsidR="00D376A5" w:rsidRPr="00500C8D">
        <w:rPr>
          <w:rFonts w:ascii="Tahoma" w:hAnsi="Tahoma" w:cs="Tahoma"/>
          <w:color w:val="000000" w:themeColor="text1"/>
          <w:sz w:val="20"/>
        </w:rPr>
        <w:tab/>
      </w:r>
      <w:r w:rsidR="00D376A5" w:rsidRPr="00500C8D">
        <w:rPr>
          <w:rFonts w:ascii="Tahoma" w:hAnsi="Tahoma" w:cs="Tahoma"/>
          <w:color w:val="000000" w:themeColor="text1"/>
          <w:sz w:val="20"/>
        </w:rPr>
        <w:tab/>
      </w:r>
      <w:r w:rsidR="00D376A5" w:rsidRPr="00500C8D">
        <w:rPr>
          <w:rFonts w:ascii="Tahoma" w:hAnsi="Tahoma" w:cs="Tahoma"/>
          <w:color w:val="000000" w:themeColor="text1"/>
          <w:sz w:val="20"/>
        </w:rPr>
        <w:tab/>
        <w:t>10 years</w:t>
      </w:r>
    </w:p>
    <w:p w14:paraId="486F7A4F"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Maximum Type Allocation</w:t>
      </w:r>
      <w:r w:rsidRPr="00500C8D">
        <w:rPr>
          <w:rFonts w:ascii="Tahoma" w:hAnsi="Tahoma" w:cs="Tahoma"/>
          <w:color w:val="000000" w:themeColor="text1"/>
          <w:sz w:val="20"/>
        </w:rPr>
        <w:tab/>
      </w:r>
      <w:r w:rsidR="00926BC2" w:rsidRPr="00500C8D">
        <w:rPr>
          <w:rFonts w:ascii="Tahoma" w:hAnsi="Tahoma" w:cs="Tahoma"/>
          <w:color w:val="000000" w:themeColor="text1"/>
          <w:sz w:val="20"/>
        </w:rPr>
        <w:tab/>
      </w:r>
      <w:r w:rsidRPr="00500C8D">
        <w:rPr>
          <w:rFonts w:ascii="Tahoma" w:hAnsi="Tahoma" w:cs="Tahoma"/>
          <w:color w:val="000000" w:themeColor="text1"/>
          <w:sz w:val="20"/>
        </w:rPr>
        <w:tab/>
      </w:r>
      <w:r w:rsidR="00961098" w:rsidRPr="00500C8D">
        <w:rPr>
          <w:rFonts w:ascii="Tahoma" w:hAnsi="Tahoma" w:cs="Tahoma"/>
          <w:color w:val="000000" w:themeColor="text1"/>
          <w:sz w:val="20"/>
        </w:rPr>
        <w:t>80%</w:t>
      </w:r>
    </w:p>
    <w:p w14:paraId="77B4017C"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Maximum Issuer Concentration:</w:t>
      </w:r>
      <w:r w:rsidRPr="00500C8D">
        <w:rPr>
          <w:rFonts w:ascii="Tahoma" w:hAnsi="Tahoma" w:cs="Tahoma"/>
          <w:color w:val="000000" w:themeColor="text1"/>
          <w:sz w:val="20"/>
        </w:rPr>
        <w:tab/>
      </w:r>
      <w:r w:rsidRPr="00500C8D">
        <w:rPr>
          <w:rFonts w:ascii="Tahoma" w:hAnsi="Tahoma" w:cs="Tahoma"/>
          <w:color w:val="000000" w:themeColor="text1"/>
          <w:sz w:val="20"/>
        </w:rPr>
        <w:tab/>
      </w:r>
      <w:r w:rsidR="00961098" w:rsidRPr="00500C8D">
        <w:rPr>
          <w:rFonts w:ascii="Tahoma" w:hAnsi="Tahoma" w:cs="Tahoma"/>
          <w:color w:val="000000" w:themeColor="text1"/>
          <w:sz w:val="20"/>
        </w:rPr>
        <w:t>40%</w:t>
      </w:r>
    </w:p>
    <w:p w14:paraId="4FA9FB9D" w14:textId="77777777" w:rsidR="00D376A5" w:rsidRPr="00500C8D" w:rsidRDefault="00D376A5" w:rsidP="00D376A5">
      <w:pPr>
        <w:pStyle w:val="NoSpacing"/>
        <w:ind w:left="360"/>
        <w:rPr>
          <w:rFonts w:ascii="Tahoma" w:hAnsi="Tahoma" w:cs="Tahoma"/>
          <w:color w:val="000000" w:themeColor="text1"/>
          <w:sz w:val="20"/>
        </w:rPr>
      </w:pPr>
      <w:r w:rsidRPr="00500C8D">
        <w:rPr>
          <w:rFonts w:ascii="Tahoma" w:hAnsi="Tahoma" w:cs="Tahoma"/>
          <w:color w:val="000000" w:themeColor="text1"/>
          <w:sz w:val="20"/>
        </w:rPr>
        <w:t>Minimum Issuer Rating:</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Not applicable</w:t>
      </w:r>
    </w:p>
    <w:p w14:paraId="4726A2C2" w14:textId="77777777" w:rsidR="00D376A5" w:rsidRPr="00500C8D" w:rsidRDefault="00D376A5" w:rsidP="00961098">
      <w:pPr>
        <w:pStyle w:val="NoSpacing"/>
        <w:ind w:left="4320" w:hanging="3960"/>
        <w:jc w:val="both"/>
        <w:rPr>
          <w:rFonts w:ascii="Tahoma" w:hAnsi="Tahoma" w:cs="Tahoma"/>
          <w:color w:val="000000" w:themeColor="text1"/>
          <w:sz w:val="20"/>
        </w:rPr>
      </w:pPr>
      <w:r w:rsidRPr="00500C8D">
        <w:rPr>
          <w:rFonts w:ascii="Tahoma" w:hAnsi="Tahoma" w:cs="Tahoma"/>
          <w:color w:val="000000" w:themeColor="text1"/>
          <w:sz w:val="20"/>
        </w:rPr>
        <w:t>Other:</w:t>
      </w:r>
      <w:r w:rsidRPr="00500C8D">
        <w:rPr>
          <w:rFonts w:ascii="Tahoma" w:hAnsi="Tahoma" w:cs="Tahoma"/>
          <w:color w:val="000000" w:themeColor="text1"/>
          <w:sz w:val="20"/>
        </w:rPr>
        <w:tab/>
        <w:t xml:space="preserve">Allowable </w:t>
      </w:r>
      <w:r w:rsidR="00B44D25">
        <w:rPr>
          <w:rFonts w:ascii="Tahoma" w:hAnsi="Tahoma" w:cs="Tahoma"/>
          <w:color w:val="000000" w:themeColor="text1"/>
          <w:sz w:val="20"/>
        </w:rPr>
        <w:t>GSEs</w:t>
      </w:r>
      <w:r w:rsidRPr="00500C8D">
        <w:rPr>
          <w:rFonts w:ascii="Tahoma" w:hAnsi="Tahoma" w:cs="Tahoma"/>
          <w:color w:val="000000" w:themeColor="text1"/>
          <w:sz w:val="20"/>
        </w:rPr>
        <w:t xml:space="preserve"> </w:t>
      </w:r>
      <w:r w:rsidR="00231EDC">
        <w:rPr>
          <w:rFonts w:ascii="Tahoma" w:hAnsi="Tahoma" w:cs="Tahoma"/>
          <w:color w:val="000000" w:themeColor="text1"/>
          <w:sz w:val="20"/>
        </w:rPr>
        <w:t xml:space="preserve">and instrumentalities </w:t>
      </w:r>
      <w:r w:rsidRPr="00500C8D">
        <w:rPr>
          <w:rFonts w:ascii="Tahoma" w:hAnsi="Tahoma" w:cs="Tahoma"/>
          <w:color w:val="000000" w:themeColor="text1"/>
          <w:sz w:val="20"/>
        </w:rPr>
        <w:t>such as Federal Home Loan Bank, Federal Farm Credit Bank, Federal Home Loan Mortgage Corporation, Federal National Mortgage Association,</w:t>
      </w:r>
      <w:r w:rsidR="00231EDC">
        <w:rPr>
          <w:rFonts w:ascii="Tahoma" w:hAnsi="Tahoma" w:cs="Tahoma"/>
          <w:color w:val="000000" w:themeColor="text1"/>
          <w:sz w:val="20"/>
        </w:rPr>
        <w:t xml:space="preserve"> Federal Agricultural Mortgage Corporation, </w:t>
      </w:r>
      <w:r w:rsidRPr="00500C8D">
        <w:rPr>
          <w:rFonts w:ascii="Tahoma" w:hAnsi="Tahoma" w:cs="Tahoma"/>
          <w:color w:val="000000" w:themeColor="text1"/>
          <w:sz w:val="20"/>
        </w:rPr>
        <w:t>Tennessee Valley Authority</w:t>
      </w:r>
    </w:p>
    <w:p w14:paraId="303EB575" w14:textId="77777777" w:rsidR="00D376A5" w:rsidRPr="00500C8D" w:rsidRDefault="00D376A5" w:rsidP="00D376A5">
      <w:pPr>
        <w:tabs>
          <w:tab w:val="left" w:pos="450"/>
        </w:tabs>
        <w:ind w:left="4320" w:hanging="3870"/>
        <w:jc w:val="both"/>
        <w:rPr>
          <w:rFonts w:ascii="Tahoma" w:eastAsia="Arial" w:hAnsi="Tahoma" w:cs="Tahoma"/>
          <w:color w:val="000000" w:themeColor="text1"/>
          <w:spacing w:val="-1"/>
          <w:sz w:val="20"/>
          <w:szCs w:val="20"/>
        </w:rPr>
      </w:pPr>
    </w:p>
    <w:p w14:paraId="70C42031" w14:textId="77777777" w:rsidR="00961098" w:rsidRPr="00500C8D" w:rsidRDefault="00961098" w:rsidP="00962967">
      <w:pPr>
        <w:pStyle w:val="NoSpacing"/>
        <w:tabs>
          <w:tab w:val="left" w:pos="360"/>
        </w:tabs>
        <w:ind w:left="360"/>
        <w:rPr>
          <w:rFonts w:ascii="Tahoma" w:hAnsi="Tahoma" w:cs="Tahoma"/>
          <w:b/>
          <w:bCs/>
          <w:color w:val="000000" w:themeColor="text1"/>
          <w:sz w:val="20"/>
        </w:rPr>
      </w:pPr>
      <w:r w:rsidRPr="00500C8D">
        <w:rPr>
          <w:rFonts w:ascii="Tahoma" w:hAnsi="Tahoma" w:cs="Tahoma"/>
          <w:b/>
          <w:bCs/>
          <w:color w:val="000000" w:themeColor="text1"/>
          <w:sz w:val="20"/>
        </w:rPr>
        <w:t>Commercial Paper</w:t>
      </w:r>
    </w:p>
    <w:p w14:paraId="2F13FE13" w14:textId="77777777" w:rsidR="00961098" w:rsidRPr="00500C8D" w:rsidRDefault="00961098" w:rsidP="00962967">
      <w:pPr>
        <w:pStyle w:val="NoSpacing"/>
        <w:tabs>
          <w:tab w:val="left" w:pos="360"/>
        </w:tabs>
        <w:ind w:left="360"/>
        <w:rPr>
          <w:rFonts w:ascii="Tahoma" w:hAnsi="Tahoma" w:cs="Tahoma"/>
          <w:color w:val="000000" w:themeColor="text1"/>
          <w:sz w:val="20"/>
        </w:rPr>
      </w:pPr>
      <w:r w:rsidRPr="00500C8D">
        <w:rPr>
          <w:rFonts w:ascii="Tahoma" w:hAnsi="Tahoma" w:cs="Tahoma"/>
          <w:color w:val="000000" w:themeColor="text1"/>
          <w:sz w:val="20"/>
        </w:rPr>
        <w:t>[State Law]:</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[applicable state law, etc. section]</w:t>
      </w:r>
    </w:p>
    <w:p w14:paraId="2D06E590" w14:textId="77777777" w:rsidR="00961098" w:rsidRPr="00500C8D" w:rsidRDefault="00961098" w:rsidP="00962967">
      <w:pPr>
        <w:pStyle w:val="NoSpacing"/>
        <w:tabs>
          <w:tab w:val="left" w:pos="360"/>
        </w:tabs>
        <w:ind w:left="360"/>
        <w:rPr>
          <w:rFonts w:ascii="Tahoma" w:hAnsi="Tahoma" w:cs="Tahoma"/>
          <w:color w:val="000000" w:themeColor="text1"/>
          <w:sz w:val="20"/>
        </w:rPr>
      </w:pPr>
      <w:r w:rsidRPr="00500C8D">
        <w:rPr>
          <w:rFonts w:ascii="Tahoma" w:hAnsi="Tahoma" w:cs="Tahoma"/>
          <w:color w:val="000000" w:themeColor="text1"/>
          <w:sz w:val="20"/>
        </w:rPr>
        <w:t>Maximum Term:</w:t>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r>
      <w:r w:rsidRPr="00500C8D">
        <w:rPr>
          <w:rFonts w:ascii="Tahoma" w:hAnsi="Tahoma" w:cs="Tahoma"/>
          <w:color w:val="000000" w:themeColor="text1"/>
          <w:sz w:val="20"/>
        </w:rPr>
        <w:tab/>
        <w:t>270 days</w:t>
      </w:r>
    </w:p>
    <w:p w14:paraId="7CA183CD" w14:textId="77777777" w:rsidR="00962967" w:rsidRPr="00500C8D" w:rsidRDefault="00961098" w:rsidP="00962967">
      <w:pPr>
        <w:pStyle w:val="NoSpacing"/>
        <w:tabs>
          <w:tab w:val="left" w:pos="360"/>
        </w:tabs>
        <w:ind w:left="360"/>
        <w:rPr>
          <w:rFonts w:ascii="Tahoma" w:hAnsi="Tahoma" w:cs="Tahoma"/>
          <w:color w:val="000000" w:themeColor="text1"/>
          <w:sz w:val="20"/>
        </w:rPr>
      </w:pPr>
      <w:r w:rsidRPr="00500C8D">
        <w:rPr>
          <w:rFonts w:ascii="Tahoma" w:hAnsi="Tahoma" w:cs="Tahoma"/>
          <w:color w:val="000000" w:themeColor="text1"/>
          <w:sz w:val="20"/>
        </w:rPr>
        <w:t>Maximum Type Allocation</w:t>
      </w:r>
      <w:r w:rsidRPr="00500C8D">
        <w:rPr>
          <w:rFonts w:ascii="Tahoma" w:hAnsi="Tahoma" w:cs="Tahoma"/>
          <w:color w:val="000000" w:themeColor="text1"/>
          <w:sz w:val="20"/>
        </w:rPr>
        <w:tab/>
      </w:r>
      <w:r w:rsidRPr="00500C8D">
        <w:rPr>
          <w:rFonts w:ascii="Tahoma" w:hAnsi="Tahoma" w:cs="Tahoma"/>
          <w:color w:val="000000" w:themeColor="text1"/>
          <w:sz w:val="20"/>
        </w:rPr>
        <w:tab/>
      </w:r>
      <w:r w:rsidR="00962967" w:rsidRPr="00500C8D">
        <w:rPr>
          <w:rFonts w:ascii="Tahoma" w:hAnsi="Tahoma" w:cs="Tahoma"/>
          <w:color w:val="000000" w:themeColor="text1"/>
          <w:sz w:val="20"/>
        </w:rPr>
        <w:tab/>
      </w:r>
      <w:r w:rsidRPr="00500C8D">
        <w:rPr>
          <w:rFonts w:ascii="Tahoma" w:hAnsi="Tahoma" w:cs="Tahoma"/>
          <w:color w:val="000000" w:themeColor="text1"/>
          <w:sz w:val="20"/>
        </w:rPr>
        <w:t xml:space="preserve">25% </w:t>
      </w:r>
    </w:p>
    <w:p w14:paraId="5B4A3C0B" w14:textId="77777777" w:rsidR="00962967" w:rsidRPr="00500C8D" w:rsidRDefault="00961098" w:rsidP="00962967">
      <w:pPr>
        <w:pStyle w:val="NoSpacing"/>
        <w:tabs>
          <w:tab w:val="left" w:pos="360"/>
        </w:tabs>
        <w:ind w:left="4320" w:hanging="3960"/>
        <w:rPr>
          <w:rFonts w:ascii="Tahoma" w:hAnsi="Tahoma" w:cs="Tahoma"/>
          <w:color w:val="000000" w:themeColor="text1"/>
          <w:sz w:val="20"/>
        </w:rPr>
      </w:pPr>
      <w:r w:rsidRPr="00500C8D">
        <w:rPr>
          <w:rFonts w:ascii="Tahoma" w:hAnsi="Tahoma" w:cs="Tahoma"/>
          <w:color w:val="000000" w:themeColor="text1"/>
          <w:sz w:val="20"/>
        </w:rPr>
        <w:t>Maximum Issuer Concentration:</w:t>
      </w:r>
      <w:r w:rsidRPr="00500C8D">
        <w:rPr>
          <w:rFonts w:ascii="Tahoma" w:hAnsi="Tahoma" w:cs="Tahoma"/>
          <w:color w:val="000000" w:themeColor="text1"/>
          <w:sz w:val="20"/>
        </w:rPr>
        <w:tab/>
        <w:t>5% in aggregate with corporate notes/bonds and CDs</w:t>
      </w:r>
      <w:r w:rsidR="00962967" w:rsidRPr="00500C8D">
        <w:rPr>
          <w:rFonts w:ascii="Tahoma" w:hAnsi="Tahoma" w:cs="Tahoma"/>
          <w:color w:val="000000" w:themeColor="text1"/>
          <w:sz w:val="20"/>
        </w:rPr>
        <w:t xml:space="preserve"> </w:t>
      </w:r>
    </w:p>
    <w:p w14:paraId="49EE537A" w14:textId="77777777" w:rsidR="00961098" w:rsidRPr="00500C8D" w:rsidRDefault="00961098" w:rsidP="00962967">
      <w:pPr>
        <w:pStyle w:val="NoSpacing"/>
        <w:tabs>
          <w:tab w:val="left" w:pos="360"/>
        </w:tabs>
        <w:ind w:left="4320" w:hanging="3960"/>
        <w:rPr>
          <w:rFonts w:ascii="Tahoma" w:hAnsi="Tahoma" w:cs="Tahoma"/>
          <w:color w:val="000000" w:themeColor="text1"/>
          <w:sz w:val="20"/>
        </w:rPr>
      </w:pPr>
      <w:r w:rsidRPr="00500C8D">
        <w:rPr>
          <w:rFonts w:ascii="Tahoma" w:hAnsi="Tahoma" w:cs="Tahoma"/>
          <w:color w:val="000000" w:themeColor="text1"/>
          <w:sz w:val="20"/>
        </w:rPr>
        <w:t>Minimum Issuer Rating:</w:t>
      </w:r>
      <w:r w:rsidR="00962967" w:rsidRPr="00500C8D">
        <w:rPr>
          <w:rFonts w:ascii="Tahoma" w:hAnsi="Tahoma" w:cs="Tahoma"/>
          <w:color w:val="000000" w:themeColor="text1"/>
          <w:sz w:val="20"/>
        </w:rPr>
        <w:tab/>
      </w:r>
      <w:r w:rsidRPr="00500C8D">
        <w:rPr>
          <w:rFonts w:ascii="Tahoma" w:hAnsi="Tahoma" w:cs="Tahoma"/>
          <w:color w:val="000000" w:themeColor="text1"/>
          <w:sz w:val="20"/>
        </w:rPr>
        <w:t>A-1, P-1, F-1 equivalent or better by a NRSRO, long-term rating A- equivalent or better by a NRSRO</w:t>
      </w:r>
    </w:p>
    <w:p w14:paraId="57055539" w14:textId="77777777" w:rsidR="00961098" w:rsidRPr="00500C8D" w:rsidRDefault="00961098" w:rsidP="00962967">
      <w:pPr>
        <w:pStyle w:val="NoSpacing"/>
        <w:tabs>
          <w:tab w:val="left" w:pos="360"/>
        </w:tabs>
        <w:ind w:left="4320" w:hanging="3960"/>
        <w:jc w:val="both"/>
        <w:rPr>
          <w:rFonts w:ascii="Tahoma" w:hAnsi="Tahoma" w:cs="Tahoma"/>
          <w:color w:val="000000" w:themeColor="text1"/>
          <w:sz w:val="20"/>
        </w:rPr>
      </w:pPr>
      <w:r w:rsidRPr="00500C8D">
        <w:rPr>
          <w:rFonts w:ascii="Tahoma" w:hAnsi="Tahoma" w:cs="Tahoma"/>
          <w:color w:val="000000" w:themeColor="text1"/>
          <w:sz w:val="20"/>
        </w:rPr>
        <w:t>Other:</w:t>
      </w:r>
      <w:r w:rsidRPr="00500C8D">
        <w:rPr>
          <w:rFonts w:ascii="Tahoma" w:hAnsi="Tahoma" w:cs="Tahoma"/>
          <w:color w:val="000000" w:themeColor="text1"/>
          <w:sz w:val="20"/>
        </w:rPr>
        <w:tab/>
        <w:t>Issued by a corporation organized and operating in the U.S. or by a depository institution licensed by the U.S. or any state, if rating falls below required guidelines</w:t>
      </w:r>
      <w:r w:rsidR="009D6D51">
        <w:rPr>
          <w:rFonts w:ascii="Tahoma" w:hAnsi="Tahoma" w:cs="Tahoma"/>
          <w:color w:val="000000" w:themeColor="text1"/>
          <w:sz w:val="20"/>
        </w:rPr>
        <w:t>,</w:t>
      </w:r>
      <w:r w:rsidRPr="00500C8D">
        <w:rPr>
          <w:rFonts w:ascii="Tahoma" w:hAnsi="Tahoma" w:cs="Tahoma"/>
          <w:color w:val="000000" w:themeColor="text1"/>
          <w:sz w:val="20"/>
        </w:rPr>
        <w:t xml:space="preserve"> the information shall be reported to the [governing body] within 10 days </w:t>
      </w:r>
    </w:p>
    <w:p w14:paraId="02A346C0" w14:textId="77777777" w:rsidR="00926BC2" w:rsidRPr="00500C8D" w:rsidRDefault="00926BC2" w:rsidP="0022004C">
      <w:pPr>
        <w:pStyle w:val="NoSpacing"/>
        <w:ind w:left="0"/>
        <w:rPr>
          <w:rFonts w:ascii="Tahoma" w:hAnsi="Tahoma" w:cs="Tahoma"/>
          <w:b/>
          <w:bCs/>
          <w:color w:val="000000" w:themeColor="text1"/>
          <w:sz w:val="20"/>
        </w:rPr>
      </w:pPr>
    </w:p>
    <w:p w14:paraId="4CDDDB76" w14:textId="77777777" w:rsidR="00926BC2" w:rsidRPr="00500C8D" w:rsidRDefault="00926BC2" w:rsidP="00926BC2">
      <w:pPr>
        <w:pStyle w:val="NoSpacing"/>
        <w:ind w:left="0"/>
        <w:rPr>
          <w:rFonts w:ascii="Tahoma" w:hAnsi="Tahoma" w:cs="Tahoma"/>
          <w:i/>
          <w:iCs/>
          <w:color w:val="000000" w:themeColor="text1"/>
          <w:sz w:val="20"/>
          <w:szCs w:val="16"/>
        </w:rPr>
      </w:pPr>
      <w:r w:rsidRPr="00500C8D">
        <w:rPr>
          <w:rFonts w:ascii="Tahoma" w:hAnsi="Tahoma" w:cs="Tahoma"/>
          <w:i/>
          <w:iCs/>
          <w:color w:val="000000" w:themeColor="text1"/>
          <w:sz w:val="20"/>
          <w:szCs w:val="16"/>
        </w:rPr>
        <w:lastRenderedPageBreak/>
        <w:t xml:space="preserve">(Below are examples for U.S. Treasury, </w:t>
      </w:r>
      <w:r w:rsidR="00231EDC" w:rsidRPr="00231EDC">
        <w:rPr>
          <w:rFonts w:ascii="Tahoma" w:hAnsi="Tahoma" w:cs="Tahoma"/>
          <w:i/>
          <w:iCs/>
          <w:color w:val="000000" w:themeColor="text1"/>
          <w:sz w:val="20"/>
          <w:szCs w:val="16"/>
        </w:rPr>
        <w:t>U.S. Government-Sponsored Enterprises</w:t>
      </w:r>
      <w:r w:rsidRPr="00500C8D">
        <w:rPr>
          <w:rFonts w:ascii="Tahoma" w:hAnsi="Tahoma" w:cs="Tahoma"/>
          <w:i/>
          <w:iCs/>
          <w:color w:val="000000" w:themeColor="text1"/>
          <w:sz w:val="20"/>
          <w:szCs w:val="16"/>
        </w:rPr>
        <w:t>, and Commercial Paper in narrative form</w:t>
      </w:r>
      <w:r w:rsidR="009D6D51">
        <w:rPr>
          <w:rFonts w:ascii="Tahoma" w:hAnsi="Tahoma" w:cs="Tahoma"/>
          <w:i/>
          <w:iCs/>
          <w:color w:val="000000" w:themeColor="text1"/>
          <w:sz w:val="20"/>
          <w:szCs w:val="16"/>
        </w:rPr>
        <w:t>at</w:t>
      </w:r>
      <w:r w:rsidRPr="00500C8D">
        <w:rPr>
          <w:rFonts w:ascii="Tahoma" w:hAnsi="Tahoma" w:cs="Tahoma"/>
          <w:i/>
          <w:iCs/>
          <w:color w:val="000000" w:themeColor="text1"/>
          <w:sz w:val="20"/>
          <w:szCs w:val="16"/>
        </w:rPr>
        <w:t>)</w:t>
      </w:r>
      <w:r w:rsidR="009D6D51">
        <w:rPr>
          <w:rFonts w:ascii="Tahoma" w:hAnsi="Tahoma" w:cs="Tahoma"/>
          <w:i/>
          <w:iCs/>
          <w:color w:val="000000" w:themeColor="text1"/>
          <w:sz w:val="20"/>
          <w:szCs w:val="16"/>
        </w:rPr>
        <w:t>:</w:t>
      </w:r>
    </w:p>
    <w:p w14:paraId="7639220C" w14:textId="77777777" w:rsidR="00926BC2" w:rsidRPr="00500C8D" w:rsidRDefault="00926BC2" w:rsidP="0022004C">
      <w:pPr>
        <w:pStyle w:val="NoSpacing"/>
        <w:ind w:left="0"/>
        <w:rPr>
          <w:rFonts w:ascii="Tahoma" w:hAnsi="Tahoma" w:cs="Tahoma"/>
          <w:b/>
          <w:bCs/>
          <w:color w:val="000000" w:themeColor="text1"/>
          <w:sz w:val="20"/>
        </w:rPr>
      </w:pPr>
    </w:p>
    <w:p w14:paraId="08DC1196" w14:textId="77777777" w:rsidR="00926BC2" w:rsidRPr="00500C8D" w:rsidRDefault="00926BC2" w:rsidP="0022004C">
      <w:pPr>
        <w:pStyle w:val="NoSpacing"/>
        <w:ind w:left="0"/>
        <w:rPr>
          <w:rFonts w:ascii="Tahoma" w:hAnsi="Tahoma" w:cs="Tahoma"/>
          <w:color w:val="000000" w:themeColor="text1"/>
          <w:sz w:val="20"/>
        </w:rPr>
      </w:pPr>
      <w:r w:rsidRPr="00500C8D">
        <w:rPr>
          <w:rFonts w:ascii="Tahoma" w:hAnsi="Tahoma" w:cs="Tahoma"/>
          <w:b/>
          <w:bCs/>
          <w:color w:val="000000" w:themeColor="text1"/>
          <w:sz w:val="20"/>
        </w:rPr>
        <w:t xml:space="preserve">U.S. Treasury Obligations:  </w:t>
      </w:r>
      <w:r w:rsidR="00500C8D">
        <w:rPr>
          <w:rFonts w:ascii="Tahoma" w:hAnsi="Tahoma" w:cs="Tahoma"/>
          <w:bCs/>
          <w:color w:val="000000" w:themeColor="text1"/>
          <w:sz w:val="20"/>
        </w:rPr>
        <w:t xml:space="preserve">Bills, notes, bonds, </w:t>
      </w:r>
      <w:r w:rsidR="00500C8D" w:rsidRPr="00500C8D">
        <w:rPr>
          <w:rFonts w:ascii="Tahoma" w:hAnsi="Tahoma" w:cs="Tahoma"/>
          <w:bCs/>
          <w:color w:val="000000" w:themeColor="text1"/>
          <w:sz w:val="20"/>
        </w:rPr>
        <w:t>debentures</w:t>
      </w:r>
      <w:r w:rsidR="00500C8D">
        <w:rPr>
          <w:rFonts w:ascii="Tahoma" w:hAnsi="Tahoma" w:cs="Tahoma"/>
          <w:bCs/>
          <w:color w:val="000000" w:themeColor="text1"/>
          <w:sz w:val="20"/>
        </w:rPr>
        <w:t>, and other direct obligations</w:t>
      </w:r>
      <w:r w:rsidR="00500C8D" w:rsidRPr="00500C8D">
        <w:rPr>
          <w:rFonts w:ascii="Tahoma" w:hAnsi="Tahoma" w:cs="Tahoma"/>
          <w:bCs/>
          <w:color w:val="000000" w:themeColor="text1"/>
          <w:sz w:val="20"/>
        </w:rPr>
        <w:t xml:space="preserve"> of the United States Treasury, the maturity date of which is not more than 10 years from the date of purchase.</w:t>
      </w:r>
      <w:r w:rsidR="00B44D25">
        <w:rPr>
          <w:rFonts w:ascii="Tahoma" w:hAnsi="Tahoma" w:cs="Tahoma"/>
          <w:bCs/>
          <w:color w:val="000000" w:themeColor="text1"/>
          <w:sz w:val="20"/>
        </w:rPr>
        <w:t xml:space="preserve">  The total allocation to U.S. Treasury obligations is 100% of the portfolio. </w:t>
      </w:r>
    </w:p>
    <w:p w14:paraId="7D9B5844" w14:textId="77777777" w:rsidR="00926BC2" w:rsidRPr="00500C8D" w:rsidRDefault="00926BC2" w:rsidP="0022004C">
      <w:pPr>
        <w:pStyle w:val="NoSpacing"/>
        <w:ind w:left="0"/>
        <w:rPr>
          <w:rFonts w:ascii="Tahoma" w:hAnsi="Tahoma" w:cs="Tahoma"/>
          <w:color w:val="000000" w:themeColor="text1"/>
          <w:sz w:val="20"/>
        </w:rPr>
      </w:pPr>
    </w:p>
    <w:p w14:paraId="4B96326C" w14:textId="77777777" w:rsidR="00926BC2" w:rsidRPr="00CD20DA" w:rsidRDefault="00926BC2" w:rsidP="00CD20DA">
      <w:pPr>
        <w:rPr>
          <w:rFonts w:ascii="Tahoma" w:hAnsi="Tahoma" w:cs="Tahoma"/>
          <w:bCs/>
          <w:color w:val="000000" w:themeColor="text1"/>
          <w:kern w:val="20"/>
          <w:sz w:val="20"/>
          <w:szCs w:val="20"/>
          <w:lang w:eastAsia="ja-JP"/>
        </w:rPr>
      </w:pPr>
      <w:r w:rsidRPr="00500C8D">
        <w:rPr>
          <w:rFonts w:ascii="Tahoma" w:hAnsi="Tahoma" w:cs="Tahoma"/>
          <w:b/>
          <w:bCs/>
          <w:color w:val="000000" w:themeColor="text1"/>
          <w:sz w:val="20"/>
        </w:rPr>
        <w:t xml:space="preserve">U.S. </w:t>
      </w:r>
      <w:r w:rsidR="00225A8F" w:rsidRPr="00225A8F">
        <w:rPr>
          <w:rFonts w:ascii="Tahoma" w:hAnsi="Tahoma" w:cs="Tahoma"/>
          <w:b/>
          <w:bCs/>
          <w:color w:val="000000" w:themeColor="text1"/>
          <w:sz w:val="20"/>
        </w:rPr>
        <w:t>Government-Sponsored Enterprises</w:t>
      </w:r>
      <w:r w:rsidR="00225A8F">
        <w:rPr>
          <w:rFonts w:ascii="Tahoma" w:hAnsi="Tahoma" w:cs="Tahoma"/>
          <w:b/>
          <w:bCs/>
          <w:color w:val="000000" w:themeColor="text1"/>
          <w:sz w:val="20"/>
        </w:rPr>
        <w:t xml:space="preserve"> (GSEs)</w:t>
      </w:r>
      <w:r w:rsidRPr="00500C8D">
        <w:rPr>
          <w:rFonts w:ascii="Tahoma" w:hAnsi="Tahoma" w:cs="Tahoma"/>
          <w:b/>
          <w:bCs/>
          <w:color w:val="000000" w:themeColor="text1"/>
          <w:sz w:val="20"/>
        </w:rPr>
        <w:t>:</w:t>
      </w:r>
      <w:r w:rsidR="00500C8D">
        <w:rPr>
          <w:rFonts w:ascii="Tahoma" w:hAnsi="Tahoma" w:cs="Tahoma"/>
          <w:b/>
          <w:bCs/>
          <w:color w:val="000000" w:themeColor="text1"/>
          <w:sz w:val="20"/>
        </w:rPr>
        <w:t xml:space="preserve"> </w:t>
      </w:r>
      <w:r w:rsidR="00CD20DA">
        <w:rPr>
          <w:rFonts w:ascii="Tahoma" w:hAnsi="Tahoma" w:cs="Tahoma"/>
          <w:bCs/>
          <w:color w:val="000000" w:themeColor="text1"/>
          <w:sz w:val="20"/>
        </w:rPr>
        <w:t xml:space="preserve"> N</w:t>
      </w:r>
      <w:r w:rsidR="00CD20DA" w:rsidRPr="00CD20DA">
        <w:rPr>
          <w:rFonts w:ascii="Tahoma" w:hAnsi="Tahoma" w:cs="Tahoma"/>
          <w:bCs/>
          <w:color w:val="000000" w:themeColor="text1"/>
          <w:sz w:val="20"/>
        </w:rPr>
        <w:t xml:space="preserve">otes, bonds, debentures, and other direct obligations </w:t>
      </w:r>
      <w:r w:rsidR="00CD20DA">
        <w:rPr>
          <w:rFonts w:ascii="Tahoma" w:hAnsi="Tahoma" w:cs="Tahoma"/>
          <w:bCs/>
          <w:color w:val="000000" w:themeColor="text1"/>
          <w:sz w:val="20"/>
        </w:rPr>
        <w:t xml:space="preserve">of </w:t>
      </w:r>
      <w:r w:rsidR="00225A8F" w:rsidRPr="00225A8F">
        <w:rPr>
          <w:rFonts w:ascii="Tahoma" w:hAnsi="Tahoma" w:cs="Tahoma"/>
          <w:bCs/>
          <w:color w:val="000000" w:themeColor="text1"/>
          <w:sz w:val="20"/>
        </w:rPr>
        <w:t>any agency or instrumentality of the United States</w:t>
      </w:r>
      <w:r w:rsidR="00CD20DA">
        <w:rPr>
          <w:rFonts w:ascii="Tahoma" w:hAnsi="Tahoma" w:cs="Tahoma"/>
          <w:bCs/>
          <w:color w:val="000000" w:themeColor="text1"/>
          <w:sz w:val="20"/>
        </w:rPr>
        <w:t xml:space="preserve">, </w:t>
      </w:r>
      <w:r w:rsidR="00CD20DA" w:rsidRPr="00CD20DA">
        <w:rPr>
          <w:rFonts w:ascii="Tahoma" w:hAnsi="Tahoma" w:cs="Tahoma"/>
          <w:bCs/>
          <w:color w:val="000000" w:themeColor="text1"/>
          <w:kern w:val="20"/>
          <w:sz w:val="20"/>
          <w:szCs w:val="20"/>
          <w:lang w:eastAsia="ja-JP"/>
        </w:rPr>
        <w:t>the maturity date of which is not more than 10 y</w:t>
      </w:r>
      <w:r w:rsidR="00CD20DA">
        <w:rPr>
          <w:rFonts w:ascii="Tahoma" w:hAnsi="Tahoma" w:cs="Tahoma"/>
          <w:bCs/>
          <w:color w:val="000000" w:themeColor="text1"/>
          <w:kern w:val="20"/>
          <w:sz w:val="20"/>
          <w:szCs w:val="20"/>
          <w:lang w:eastAsia="ja-JP"/>
        </w:rPr>
        <w:t xml:space="preserve">ears from the date of purchase. </w:t>
      </w:r>
      <w:r w:rsidR="00167B28">
        <w:rPr>
          <w:rFonts w:ascii="Tahoma" w:hAnsi="Tahoma" w:cs="Tahoma"/>
          <w:bCs/>
          <w:color w:val="000000" w:themeColor="text1"/>
          <w:kern w:val="20"/>
          <w:sz w:val="20"/>
          <w:szCs w:val="20"/>
          <w:lang w:eastAsia="ja-JP"/>
        </w:rPr>
        <w:t xml:space="preserve"> Total allocation to </w:t>
      </w:r>
      <w:r w:rsidR="00225A8F">
        <w:rPr>
          <w:rFonts w:ascii="Tahoma" w:hAnsi="Tahoma" w:cs="Tahoma"/>
          <w:bCs/>
          <w:color w:val="000000" w:themeColor="text1"/>
          <w:kern w:val="20"/>
          <w:sz w:val="20"/>
          <w:szCs w:val="20"/>
          <w:lang w:eastAsia="ja-JP"/>
        </w:rPr>
        <w:t>U.S. GSEs</w:t>
      </w:r>
      <w:r w:rsidR="00167B28">
        <w:rPr>
          <w:rFonts w:ascii="Tahoma" w:hAnsi="Tahoma" w:cs="Tahoma"/>
          <w:bCs/>
          <w:color w:val="000000" w:themeColor="text1"/>
          <w:kern w:val="20"/>
          <w:sz w:val="20"/>
          <w:szCs w:val="20"/>
          <w:lang w:eastAsia="ja-JP"/>
        </w:rPr>
        <w:t xml:space="preserve"> shall not exceed 80% and the allocation to individual issuers shall not exceed 40%. </w:t>
      </w:r>
    </w:p>
    <w:p w14:paraId="5C192DAD" w14:textId="77777777" w:rsidR="00926BC2" w:rsidRPr="00167B28" w:rsidRDefault="00926BC2" w:rsidP="0022004C">
      <w:pPr>
        <w:pStyle w:val="NoSpacing"/>
        <w:ind w:left="0"/>
        <w:rPr>
          <w:rFonts w:ascii="Tahoma" w:hAnsi="Tahoma" w:cs="Tahoma"/>
          <w:bCs/>
          <w:color w:val="000000" w:themeColor="text1"/>
          <w:sz w:val="20"/>
        </w:rPr>
      </w:pPr>
      <w:r w:rsidRPr="00500C8D">
        <w:rPr>
          <w:rFonts w:ascii="Tahoma" w:hAnsi="Tahoma" w:cs="Tahoma"/>
          <w:b/>
          <w:bCs/>
          <w:color w:val="000000" w:themeColor="text1"/>
          <w:sz w:val="20"/>
        </w:rPr>
        <w:t xml:space="preserve">Commercial Paper: </w:t>
      </w:r>
      <w:r w:rsidR="00167B28" w:rsidRPr="00167B28">
        <w:rPr>
          <w:rFonts w:ascii="Tahoma" w:hAnsi="Tahoma" w:cs="Tahoma"/>
          <w:bCs/>
          <w:color w:val="000000" w:themeColor="text1"/>
          <w:sz w:val="20"/>
        </w:rPr>
        <w:t xml:space="preserve">Commercial </w:t>
      </w:r>
      <w:r w:rsidR="00167B28">
        <w:rPr>
          <w:rFonts w:ascii="Tahoma" w:hAnsi="Tahoma" w:cs="Tahoma"/>
          <w:bCs/>
          <w:color w:val="000000" w:themeColor="text1"/>
          <w:sz w:val="20"/>
        </w:rPr>
        <w:t>p</w:t>
      </w:r>
      <w:r w:rsidR="00167B28" w:rsidRPr="00167B28">
        <w:rPr>
          <w:rFonts w:ascii="Tahoma" w:hAnsi="Tahoma" w:cs="Tahoma"/>
          <w:bCs/>
          <w:color w:val="000000" w:themeColor="text1"/>
          <w:sz w:val="20"/>
        </w:rPr>
        <w:t>aper issued by corporations</w:t>
      </w:r>
      <w:r w:rsidR="00167B28">
        <w:rPr>
          <w:rFonts w:ascii="Tahoma" w:hAnsi="Tahoma" w:cs="Tahoma"/>
          <w:bCs/>
          <w:color w:val="000000" w:themeColor="text1"/>
          <w:sz w:val="20"/>
        </w:rPr>
        <w:t xml:space="preserve">, </w:t>
      </w:r>
      <w:r w:rsidR="00167B28" w:rsidRPr="00167B28">
        <w:rPr>
          <w:rFonts w:ascii="Tahoma" w:hAnsi="Tahoma" w:cs="Tahoma"/>
          <w:bCs/>
          <w:color w:val="000000" w:themeColor="text1"/>
          <w:sz w:val="20"/>
        </w:rPr>
        <w:t>depositories</w:t>
      </w:r>
      <w:r w:rsidR="00167B28">
        <w:rPr>
          <w:rFonts w:ascii="Tahoma" w:hAnsi="Tahoma" w:cs="Tahoma"/>
          <w:bCs/>
          <w:color w:val="000000" w:themeColor="text1"/>
          <w:sz w:val="20"/>
        </w:rPr>
        <w:t>, or other entities</w:t>
      </w:r>
      <w:r w:rsidR="00167B28" w:rsidRPr="00167B28">
        <w:rPr>
          <w:rFonts w:ascii="Tahoma" w:hAnsi="Tahoma" w:cs="Tahoma"/>
          <w:bCs/>
          <w:color w:val="000000" w:themeColor="text1"/>
          <w:sz w:val="20"/>
        </w:rPr>
        <w:t xml:space="preserve"> organized and operating in the United States with a credit rating of "A-1, P-1" or its eq</w:t>
      </w:r>
      <w:r w:rsidR="00167B28">
        <w:rPr>
          <w:rFonts w:ascii="Tahoma" w:hAnsi="Tahoma" w:cs="Tahoma"/>
          <w:bCs/>
          <w:color w:val="000000" w:themeColor="text1"/>
          <w:sz w:val="20"/>
        </w:rPr>
        <w:t xml:space="preserve">uivalent or better by a NRSRO, the maturity date of which is no longer than 270 days. </w:t>
      </w:r>
      <w:r w:rsidR="00167B28" w:rsidRPr="00167B28">
        <w:rPr>
          <w:rFonts w:ascii="Tahoma" w:hAnsi="Tahoma" w:cs="Tahoma"/>
          <w:bCs/>
          <w:color w:val="000000" w:themeColor="text1"/>
          <w:sz w:val="20"/>
        </w:rPr>
        <w:t xml:space="preserve"> </w:t>
      </w:r>
      <w:r w:rsidR="00167B28">
        <w:rPr>
          <w:rFonts w:ascii="Tahoma" w:hAnsi="Tahoma" w:cs="Tahoma"/>
          <w:bCs/>
          <w:color w:val="000000" w:themeColor="text1"/>
          <w:sz w:val="20"/>
        </w:rPr>
        <w:t>Total allocation to commercial paper shall not exceed 25</w:t>
      </w:r>
      <w:r w:rsidR="00167B28" w:rsidRPr="00167B28">
        <w:rPr>
          <w:rFonts w:ascii="Tahoma" w:hAnsi="Tahoma" w:cs="Tahoma"/>
          <w:bCs/>
          <w:color w:val="000000" w:themeColor="text1"/>
          <w:sz w:val="20"/>
        </w:rPr>
        <w:t>% and the allocation to indivi</w:t>
      </w:r>
      <w:r w:rsidR="00167B28">
        <w:rPr>
          <w:rFonts w:ascii="Tahoma" w:hAnsi="Tahoma" w:cs="Tahoma"/>
          <w:bCs/>
          <w:color w:val="000000" w:themeColor="text1"/>
          <w:sz w:val="20"/>
        </w:rPr>
        <w:t>dual issuers shall not exceed 5</w:t>
      </w:r>
      <w:r w:rsidR="00167B28" w:rsidRPr="00167B28">
        <w:rPr>
          <w:rFonts w:ascii="Tahoma" w:hAnsi="Tahoma" w:cs="Tahoma"/>
          <w:bCs/>
          <w:color w:val="000000" w:themeColor="text1"/>
          <w:sz w:val="20"/>
        </w:rPr>
        <w:t>%</w:t>
      </w:r>
      <w:r w:rsidR="00167B28">
        <w:rPr>
          <w:rFonts w:ascii="Tahoma" w:hAnsi="Tahoma" w:cs="Tahoma"/>
          <w:bCs/>
          <w:color w:val="000000" w:themeColor="text1"/>
          <w:sz w:val="20"/>
        </w:rPr>
        <w:t xml:space="preserve"> in aggregate with corporate obligations and certificates of deposit</w:t>
      </w:r>
      <w:r w:rsidR="00167B28" w:rsidRPr="00167B28">
        <w:rPr>
          <w:rFonts w:ascii="Tahoma" w:hAnsi="Tahoma" w:cs="Tahoma"/>
          <w:bCs/>
          <w:color w:val="000000" w:themeColor="text1"/>
          <w:sz w:val="20"/>
        </w:rPr>
        <w:t>.</w:t>
      </w:r>
      <w:r w:rsidR="009D6D51">
        <w:rPr>
          <w:rFonts w:ascii="Tahoma" w:hAnsi="Tahoma" w:cs="Tahoma"/>
          <w:bCs/>
          <w:color w:val="000000" w:themeColor="text1"/>
          <w:sz w:val="20"/>
        </w:rPr>
        <w:t xml:space="preserve">  I</w:t>
      </w:r>
      <w:r w:rsidR="009D6D51" w:rsidRPr="009D6D51">
        <w:rPr>
          <w:rFonts w:ascii="Tahoma" w:hAnsi="Tahoma" w:cs="Tahoma"/>
          <w:bCs/>
          <w:color w:val="000000" w:themeColor="text1"/>
          <w:sz w:val="20"/>
        </w:rPr>
        <w:t>f rating falls below required guidelines</w:t>
      </w:r>
      <w:r w:rsidR="009D6D51">
        <w:rPr>
          <w:rFonts w:ascii="Tahoma" w:hAnsi="Tahoma" w:cs="Tahoma"/>
          <w:bCs/>
          <w:color w:val="000000" w:themeColor="text1"/>
          <w:sz w:val="20"/>
        </w:rPr>
        <w:t>,</w:t>
      </w:r>
      <w:r w:rsidR="009D6D51" w:rsidRPr="009D6D51">
        <w:rPr>
          <w:rFonts w:ascii="Tahoma" w:hAnsi="Tahoma" w:cs="Tahoma"/>
          <w:bCs/>
          <w:color w:val="000000" w:themeColor="text1"/>
          <w:sz w:val="20"/>
        </w:rPr>
        <w:t xml:space="preserve"> the information shall be reported to the [governing body] within 10 days</w:t>
      </w:r>
    </w:p>
    <w:p w14:paraId="4CFA3AE3" w14:textId="77777777" w:rsidR="00926BC2" w:rsidRPr="00500C8D" w:rsidRDefault="00926BC2" w:rsidP="0022004C">
      <w:pPr>
        <w:pStyle w:val="NoSpacing"/>
        <w:ind w:left="0"/>
        <w:rPr>
          <w:rFonts w:ascii="Tahoma" w:hAnsi="Tahoma" w:cs="Tahoma"/>
          <w:b/>
          <w:bCs/>
          <w:color w:val="000000" w:themeColor="text1"/>
          <w:sz w:val="20"/>
        </w:rPr>
      </w:pPr>
    </w:p>
    <w:p w14:paraId="36B1E5AA" w14:textId="77777777" w:rsidR="00962967" w:rsidRPr="00500C8D" w:rsidRDefault="00962967" w:rsidP="0022004C">
      <w:pPr>
        <w:pStyle w:val="NoSpacing"/>
        <w:ind w:left="0"/>
        <w:rPr>
          <w:rFonts w:ascii="Tahoma" w:hAnsi="Tahoma" w:cs="Tahoma"/>
          <w:b/>
          <w:bCs/>
          <w:color w:val="000000" w:themeColor="text1"/>
          <w:sz w:val="20"/>
        </w:rPr>
      </w:pPr>
      <w:r w:rsidRPr="00500C8D">
        <w:rPr>
          <w:rFonts w:ascii="Tahoma" w:hAnsi="Tahoma" w:cs="Tahoma"/>
          <w:b/>
          <w:bCs/>
          <w:color w:val="000000" w:themeColor="text1"/>
          <w:sz w:val="20"/>
        </w:rPr>
        <w:t xml:space="preserve">Other Investments </w:t>
      </w:r>
    </w:p>
    <w:p w14:paraId="61C4845F" w14:textId="77777777" w:rsidR="00962967" w:rsidRPr="00500C8D" w:rsidRDefault="00962967" w:rsidP="0022004C">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Securities which have been expressly authorized as investments for local governments by any provision of </w:t>
      </w:r>
      <w:r w:rsidR="0022004C" w:rsidRPr="00500C8D">
        <w:rPr>
          <w:rFonts w:ascii="Tahoma" w:hAnsi="Tahoma" w:cs="Tahoma"/>
          <w:color w:val="000000" w:themeColor="text1"/>
          <w:sz w:val="20"/>
        </w:rPr>
        <w:t>[state law, etc.]</w:t>
      </w:r>
      <w:r w:rsidRPr="00500C8D">
        <w:rPr>
          <w:rFonts w:ascii="Tahoma" w:hAnsi="Tahoma" w:cs="Tahoma"/>
          <w:color w:val="000000" w:themeColor="text1"/>
          <w:sz w:val="20"/>
        </w:rPr>
        <w:t xml:space="preserve"> or by any special law.</w:t>
      </w:r>
    </w:p>
    <w:p w14:paraId="4B1713A4" w14:textId="77777777" w:rsidR="0022004C" w:rsidRDefault="0022004C" w:rsidP="0022004C">
      <w:pPr>
        <w:pStyle w:val="NoSpacing"/>
        <w:ind w:left="0"/>
        <w:rPr>
          <w:rFonts w:ascii="Tahoma" w:hAnsi="Tahoma" w:cs="Tahoma"/>
          <w:color w:val="000000" w:themeColor="text1"/>
          <w:sz w:val="20"/>
        </w:rPr>
      </w:pPr>
    </w:p>
    <w:p w14:paraId="4F596055" w14:textId="77777777" w:rsidR="0022004C" w:rsidRPr="00500C8D" w:rsidRDefault="002C7AB0" w:rsidP="0022004C">
      <w:pPr>
        <w:pStyle w:val="NoSpacing"/>
        <w:ind w:left="0"/>
        <w:rPr>
          <w:rFonts w:ascii="Tahoma" w:hAnsi="Tahoma" w:cs="Tahoma"/>
          <w:b/>
          <w:bCs/>
          <w:color w:val="000000" w:themeColor="text1"/>
          <w:sz w:val="20"/>
        </w:rPr>
      </w:pPr>
      <w:r>
        <w:rPr>
          <w:rFonts w:ascii="Tahoma" w:hAnsi="Tahoma" w:cs="Tahoma"/>
          <w:b/>
          <w:bCs/>
          <w:color w:val="000000" w:themeColor="text1"/>
          <w:sz w:val="20"/>
        </w:rPr>
        <w:t xml:space="preserve">18.  </w:t>
      </w:r>
      <w:r w:rsidR="0022004C" w:rsidRPr="00500C8D">
        <w:rPr>
          <w:rFonts w:ascii="Tahoma" w:hAnsi="Tahoma" w:cs="Tahoma"/>
          <w:b/>
          <w:bCs/>
          <w:color w:val="000000" w:themeColor="text1"/>
          <w:sz w:val="20"/>
        </w:rPr>
        <w:t xml:space="preserve">Prohibited Investments and Transactions </w:t>
      </w:r>
    </w:p>
    <w:p w14:paraId="32D169FB" w14:textId="77777777" w:rsidR="0022004C" w:rsidRPr="00500C8D" w:rsidRDefault="0022004C" w:rsidP="0022004C">
      <w:pPr>
        <w:tabs>
          <w:tab w:val="left" w:pos="720"/>
        </w:tabs>
        <w:jc w:val="both"/>
        <w:rPr>
          <w:rFonts w:ascii="Tahoma" w:eastAsia="Arial" w:hAnsi="Tahoma" w:cs="Tahoma"/>
          <w:color w:val="000000" w:themeColor="text1"/>
          <w:spacing w:val="-1"/>
          <w:sz w:val="20"/>
          <w:szCs w:val="20"/>
        </w:rPr>
      </w:pPr>
      <w:r w:rsidRPr="00500C8D">
        <w:rPr>
          <w:rFonts w:ascii="Tahoma" w:eastAsia="Arial" w:hAnsi="Tahoma" w:cs="Tahoma"/>
          <w:color w:val="000000" w:themeColor="text1"/>
          <w:spacing w:val="-1"/>
          <w:sz w:val="20"/>
          <w:szCs w:val="20"/>
        </w:rPr>
        <w:t xml:space="preserve">The following are prohibited investments and transactions </w:t>
      </w:r>
      <w:r w:rsidRPr="00500C8D">
        <w:rPr>
          <w:rFonts w:ascii="Tahoma" w:eastAsia="Arial" w:hAnsi="Tahoma" w:cs="Tahoma"/>
          <w:i/>
          <w:iCs/>
          <w:color w:val="000000" w:themeColor="text1"/>
          <w:spacing w:val="-1"/>
          <w:sz w:val="20"/>
          <w:szCs w:val="20"/>
        </w:rPr>
        <w:t>(examples below)</w:t>
      </w:r>
      <w:r w:rsidRPr="00500C8D">
        <w:rPr>
          <w:rFonts w:ascii="Tahoma" w:eastAsia="Arial" w:hAnsi="Tahoma" w:cs="Tahoma"/>
          <w:color w:val="000000" w:themeColor="text1"/>
          <w:spacing w:val="-1"/>
          <w:sz w:val="20"/>
          <w:szCs w:val="20"/>
        </w:rPr>
        <w:t xml:space="preserve">: </w:t>
      </w:r>
    </w:p>
    <w:p w14:paraId="26DB9881" w14:textId="77777777" w:rsidR="0022004C" w:rsidRPr="00500C8D" w:rsidRDefault="0022004C" w:rsidP="0022004C">
      <w:pPr>
        <w:pStyle w:val="ListParagraph"/>
        <w:numPr>
          <w:ilvl w:val="0"/>
          <w:numId w:val="5"/>
        </w:numPr>
        <w:tabs>
          <w:tab w:val="left" w:pos="720"/>
        </w:tabs>
        <w:spacing w:after="0" w:line="240" w:lineRule="auto"/>
        <w:jc w:val="both"/>
        <w:rPr>
          <w:rFonts w:ascii="Tahoma" w:eastAsia="Arial" w:hAnsi="Tahoma" w:cs="Tahoma"/>
          <w:color w:val="000000" w:themeColor="text1"/>
          <w:spacing w:val="-1"/>
          <w:sz w:val="20"/>
          <w:szCs w:val="20"/>
        </w:rPr>
      </w:pPr>
      <w:r w:rsidRPr="00500C8D">
        <w:rPr>
          <w:rFonts w:ascii="Tahoma" w:eastAsia="Arial" w:hAnsi="Tahoma" w:cs="Tahoma"/>
          <w:color w:val="000000" w:themeColor="text1"/>
          <w:spacing w:val="-1"/>
          <w:sz w:val="20"/>
          <w:szCs w:val="20"/>
        </w:rPr>
        <w:t>Range notes</w:t>
      </w:r>
    </w:p>
    <w:p w14:paraId="517649EE" w14:textId="77777777" w:rsidR="0022004C" w:rsidRPr="00500C8D" w:rsidRDefault="0022004C" w:rsidP="0022004C">
      <w:pPr>
        <w:pStyle w:val="ListParagraph"/>
        <w:numPr>
          <w:ilvl w:val="0"/>
          <w:numId w:val="5"/>
        </w:numPr>
        <w:tabs>
          <w:tab w:val="left" w:pos="720"/>
        </w:tabs>
        <w:spacing w:after="0" w:line="240" w:lineRule="auto"/>
        <w:jc w:val="both"/>
        <w:rPr>
          <w:rFonts w:ascii="Tahoma" w:eastAsia="Arial" w:hAnsi="Tahoma" w:cs="Tahoma"/>
          <w:color w:val="000000" w:themeColor="text1"/>
          <w:spacing w:val="-1"/>
          <w:sz w:val="20"/>
          <w:szCs w:val="20"/>
        </w:rPr>
      </w:pPr>
      <w:r w:rsidRPr="00500C8D">
        <w:rPr>
          <w:rFonts w:ascii="Tahoma" w:eastAsia="Arial" w:hAnsi="Tahoma" w:cs="Tahoma"/>
          <w:color w:val="000000" w:themeColor="text1"/>
          <w:spacing w:val="-1"/>
          <w:sz w:val="20"/>
          <w:szCs w:val="20"/>
        </w:rPr>
        <w:t>Inverse floating rate securities</w:t>
      </w:r>
    </w:p>
    <w:p w14:paraId="41FF0AB9" w14:textId="77777777" w:rsidR="0022004C" w:rsidRPr="00500C8D" w:rsidRDefault="0022004C" w:rsidP="0022004C">
      <w:pPr>
        <w:pStyle w:val="ListParagraph"/>
        <w:numPr>
          <w:ilvl w:val="0"/>
          <w:numId w:val="5"/>
        </w:numPr>
        <w:tabs>
          <w:tab w:val="left" w:pos="720"/>
        </w:tabs>
        <w:spacing w:after="0" w:line="240" w:lineRule="auto"/>
        <w:jc w:val="both"/>
        <w:rPr>
          <w:rFonts w:ascii="Tahoma" w:eastAsia="Arial" w:hAnsi="Tahoma" w:cs="Tahoma"/>
          <w:color w:val="000000" w:themeColor="text1"/>
          <w:spacing w:val="-1"/>
          <w:sz w:val="20"/>
          <w:szCs w:val="20"/>
        </w:rPr>
      </w:pPr>
      <w:r w:rsidRPr="00500C8D">
        <w:rPr>
          <w:rFonts w:ascii="Tahoma" w:eastAsia="Arial" w:hAnsi="Tahoma" w:cs="Tahoma"/>
          <w:color w:val="000000" w:themeColor="text1"/>
          <w:spacing w:val="-1"/>
          <w:sz w:val="20"/>
          <w:szCs w:val="20"/>
        </w:rPr>
        <w:t>Step-down securities</w:t>
      </w:r>
    </w:p>
    <w:p w14:paraId="704B3E2F" w14:textId="77777777" w:rsidR="0022004C" w:rsidRPr="00500C8D" w:rsidRDefault="0022004C" w:rsidP="0022004C">
      <w:pPr>
        <w:pStyle w:val="ListParagraph"/>
        <w:numPr>
          <w:ilvl w:val="0"/>
          <w:numId w:val="5"/>
        </w:numPr>
        <w:tabs>
          <w:tab w:val="left" w:pos="720"/>
        </w:tabs>
        <w:spacing w:after="0" w:line="240" w:lineRule="auto"/>
        <w:jc w:val="both"/>
        <w:rPr>
          <w:rFonts w:ascii="Tahoma" w:eastAsia="Arial" w:hAnsi="Tahoma" w:cs="Tahoma"/>
          <w:color w:val="000000" w:themeColor="text1"/>
          <w:spacing w:val="-1"/>
          <w:sz w:val="20"/>
          <w:szCs w:val="20"/>
        </w:rPr>
      </w:pPr>
      <w:r w:rsidRPr="00500C8D">
        <w:rPr>
          <w:rFonts w:ascii="Tahoma" w:eastAsia="Arial" w:hAnsi="Tahoma" w:cs="Tahoma"/>
          <w:color w:val="000000" w:themeColor="text1"/>
          <w:spacing w:val="-1"/>
          <w:sz w:val="20"/>
          <w:szCs w:val="20"/>
        </w:rPr>
        <w:t>Short selling</w:t>
      </w:r>
    </w:p>
    <w:p w14:paraId="119D8F42" w14:textId="77777777" w:rsidR="0022004C" w:rsidRPr="00500C8D" w:rsidRDefault="0022004C" w:rsidP="0022004C">
      <w:pPr>
        <w:pStyle w:val="ListParagraph"/>
        <w:numPr>
          <w:ilvl w:val="0"/>
          <w:numId w:val="5"/>
        </w:numPr>
        <w:tabs>
          <w:tab w:val="left" w:pos="720"/>
        </w:tabs>
        <w:spacing w:after="0" w:line="240" w:lineRule="auto"/>
        <w:jc w:val="both"/>
        <w:rPr>
          <w:rFonts w:ascii="Tahoma" w:eastAsia="Arial" w:hAnsi="Tahoma" w:cs="Tahoma"/>
          <w:color w:val="000000" w:themeColor="text1"/>
          <w:spacing w:val="-1"/>
          <w:sz w:val="20"/>
          <w:szCs w:val="20"/>
        </w:rPr>
      </w:pPr>
      <w:r w:rsidRPr="00500C8D">
        <w:rPr>
          <w:rFonts w:ascii="Tahoma" w:eastAsia="Arial" w:hAnsi="Tahoma" w:cs="Tahoma"/>
          <w:color w:val="000000" w:themeColor="text1"/>
          <w:spacing w:val="-1"/>
          <w:sz w:val="20"/>
          <w:szCs w:val="20"/>
        </w:rPr>
        <w:t>Reverse repurchase agreements</w:t>
      </w:r>
    </w:p>
    <w:p w14:paraId="648D85F4" w14:textId="77777777" w:rsidR="0022004C" w:rsidRPr="00500C8D" w:rsidRDefault="0022004C" w:rsidP="0022004C">
      <w:pPr>
        <w:pStyle w:val="NoSpacing"/>
        <w:rPr>
          <w:rFonts w:ascii="Tahoma" w:hAnsi="Tahoma" w:cs="Tahoma"/>
          <w:color w:val="000000" w:themeColor="text1"/>
          <w:sz w:val="20"/>
          <w:szCs w:val="16"/>
        </w:rPr>
      </w:pPr>
    </w:p>
    <w:p w14:paraId="2458DD93" w14:textId="77777777" w:rsidR="0022004C" w:rsidRPr="00500C8D" w:rsidRDefault="002C7AB0" w:rsidP="0022004C">
      <w:pPr>
        <w:pStyle w:val="NoSpacing"/>
        <w:ind w:left="0"/>
        <w:jc w:val="both"/>
        <w:rPr>
          <w:rFonts w:ascii="Tahoma" w:eastAsia="Arial" w:hAnsi="Tahoma" w:cs="Tahoma"/>
          <w:color w:val="000000" w:themeColor="text1"/>
          <w:spacing w:val="-1"/>
          <w:sz w:val="20"/>
          <w:szCs w:val="16"/>
        </w:rPr>
      </w:pPr>
      <w:r>
        <w:rPr>
          <w:rFonts w:ascii="Tahoma" w:eastAsia="Arial" w:hAnsi="Tahoma" w:cs="Tahoma"/>
          <w:b/>
          <w:color w:val="000000" w:themeColor="text1"/>
          <w:spacing w:val="-1"/>
          <w:sz w:val="20"/>
          <w:szCs w:val="16"/>
        </w:rPr>
        <w:t xml:space="preserve">19.  </w:t>
      </w:r>
      <w:r w:rsidR="0022004C" w:rsidRPr="00500C8D">
        <w:rPr>
          <w:rFonts w:ascii="Tahoma" w:eastAsia="Arial" w:hAnsi="Tahoma" w:cs="Tahoma"/>
          <w:b/>
          <w:color w:val="000000" w:themeColor="text1"/>
          <w:spacing w:val="-1"/>
          <w:sz w:val="20"/>
          <w:szCs w:val="16"/>
        </w:rPr>
        <w:t>Diversification Parameters</w:t>
      </w:r>
      <w:r w:rsidR="0022004C" w:rsidRPr="00500C8D">
        <w:rPr>
          <w:rFonts w:ascii="Tahoma" w:eastAsia="Arial" w:hAnsi="Tahoma" w:cs="Tahoma"/>
          <w:color w:val="000000" w:themeColor="text1"/>
          <w:spacing w:val="-1"/>
          <w:sz w:val="20"/>
          <w:szCs w:val="16"/>
        </w:rPr>
        <w:t xml:space="preserve">   </w:t>
      </w:r>
    </w:p>
    <w:p w14:paraId="00391484" w14:textId="77777777" w:rsidR="0022004C" w:rsidRPr="00500C8D" w:rsidRDefault="0022004C" w:rsidP="0022004C">
      <w:pPr>
        <w:pStyle w:val="NoSpacing"/>
        <w:ind w:left="0"/>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 xml:space="preserve">The investment program shall follow the diversification parameters delineated in the Authorized Investment section and the following, which all shall be calculated at time of purchase </w:t>
      </w:r>
      <w:r w:rsidRPr="00500C8D">
        <w:rPr>
          <w:rFonts w:ascii="Tahoma" w:eastAsia="Arial" w:hAnsi="Tahoma" w:cs="Tahoma"/>
          <w:i/>
          <w:iCs/>
          <w:color w:val="000000" w:themeColor="text1"/>
          <w:spacing w:val="-1"/>
          <w:sz w:val="20"/>
          <w:szCs w:val="16"/>
        </w:rPr>
        <w:t>(examples below)</w:t>
      </w:r>
      <w:r w:rsidRPr="00500C8D">
        <w:rPr>
          <w:rFonts w:ascii="Tahoma" w:eastAsia="Arial" w:hAnsi="Tahoma" w:cs="Tahoma"/>
          <w:color w:val="000000" w:themeColor="text1"/>
          <w:spacing w:val="-1"/>
          <w:sz w:val="20"/>
          <w:szCs w:val="16"/>
        </w:rPr>
        <w:t>:</w:t>
      </w:r>
    </w:p>
    <w:p w14:paraId="28D4C3B4" w14:textId="77777777" w:rsidR="0022004C" w:rsidRPr="00500C8D" w:rsidRDefault="0022004C" w:rsidP="0022004C">
      <w:pPr>
        <w:pStyle w:val="NoSpacing"/>
        <w:ind w:left="0"/>
        <w:jc w:val="both"/>
        <w:rPr>
          <w:rFonts w:ascii="Tahoma" w:eastAsia="Arial" w:hAnsi="Tahoma" w:cs="Tahoma"/>
          <w:color w:val="000000" w:themeColor="text1"/>
          <w:spacing w:val="-1"/>
          <w:sz w:val="20"/>
          <w:szCs w:val="16"/>
        </w:rPr>
      </w:pPr>
    </w:p>
    <w:p w14:paraId="05648944" w14:textId="77777777" w:rsidR="0022004C" w:rsidRPr="00500C8D" w:rsidRDefault="0022004C" w:rsidP="0022004C">
      <w:pPr>
        <w:pStyle w:val="NoSpacing"/>
        <w:numPr>
          <w:ilvl w:val="0"/>
          <w:numId w:val="9"/>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 xml:space="preserve">Issuer: No more than 5% in aggregate corporate exposure (CD, CP, corporate notes) </w:t>
      </w:r>
    </w:p>
    <w:p w14:paraId="7CF2B264" w14:textId="77777777" w:rsidR="0022004C" w:rsidRPr="00500C8D" w:rsidRDefault="00225A8F" w:rsidP="0022004C">
      <w:pPr>
        <w:pStyle w:val="NoSpacing"/>
        <w:numPr>
          <w:ilvl w:val="0"/>
          <w:numId w:val="9"/>
        </w:numPr>
        <w:jc w:val="both"/>
        <w:rPr>
          <w:rFonts w:ascii="Tahoma" w:eastAsia="Arial" w:hAnsi="Tahoma" w:cs="Tahoma"/>
          <w:color w:val="000000" w:themeColor="text1"/>
          <w:spacing w:val="-1"/>
          <w:sz w:val="20"/>
          <w:szCs w:val="16"/>
        </w:rPr>
      </w:pPr>
      <w:r>
        <w:rPr>
          <w:rFonts w:ascii="Tahoma" w:eastAsia="Arial" w:hAnsi="Tahoma" w:cs="Tahoma"/>
          <w:color w:val="000000" w:themeColor="text1"/>
          <w:spacing w:val="-1"/>
          <w:sz w:val="20"/>
          <w:szCs w:val="16"/>
        </w:rPr>
        <w:t>U.S. GSE</w:t>
      </w:r>
      <w:r w:rsidR="0022004C" w:rsidRPr="00500C8D">
        <w:rPr>
          <w:rFonts w:ascii="Tahoma" w:eastAsia="Arial" w:hAnsi="Tahoma" w:cs="Tahoma"/>
          <w:color w:val="000000" w:themeColor="text1"/>
          <w:spacing w:val="-1"/>
          <w:sz w:val="20"/>
          <w:szCs w:val="16"/>
        </w:rPr>
        <w:t xml:space="preserve"> Callables:  No more than 10% </w:t>
      </w:r>
    </w:p>
    <w:p w14:paraId="05B2AB7B" w14:textId="77777777" w:rsidR="0022004C" w:rsidRPr="00500C8D" w:rsidRDefault="00225A8F" w:rsidP="0022004C">
      <w:pPr>
        <w:pStyle w:val="NoSpacing"/>
        <w:numPr>
          <w:ilvl w:val="0"/>
          <w:numId w:val="9"/>
        </w:numPr>
        <w:jc w:val="both"/>
        <w:rPr>
          <w:rFonts w:ascii="Tahoma" w:eastAsia="Arial" w:hAnsi="Tahoma" w:cs="Tahoma"/>
          <w:color w:val="000000" w:themeColor="text1"/>
          <w:spacing w:val="-1"/>
          <w:sz w:val="20"/>
          <w:szCs w:val="16"/>
        </w:rPr>
      </w:pPr>
      <w:r>
        <w:rPr>
          <w:rFonts w:ascii="Tahoma" w:eastAsia="Arial" w:hAnsi="Tahoma" w:cs="Tahoma"/>
          <w:color w:val="000000" w:themeColor="text1"/>
          <w:spacing w:val="-1"/>
          <w:sz w:val="20"/>
          <w:szCs w:val="16"/>
        </w:rPr>
        <w:t xml:space="preserve">U.S. GSE </w:t>
      </w:r>
      <w:r w:rsidR="0022004C" w:rsidRPr="00500C8D">
        <w:rPr>
          <w:rFonts w:ascii="Tahoma" w:eastAsia="Arial" w:hAnsi="Tahoma" w:cs="Tahoma"/>
          <w:color w:val="000000" w:themeColor="text1"/>
          <w:spacing w:val="-1"/>
          <w:sz w:val="20"/>
          <w:szCs w:val="16"/>
        </w:rPr>
        <w:t xml:space="preserve">Step-Ups:  No more than 10% </w:t>
      </w:r>
    </w:p>
    <w:p w14:paraId="3269389E" w14:textId="77777777" w:rsidR="0022004C" w:rsidRPr="00500C8D" w:rsidRDefault="0022004C" w:rsidP="0022004C">
      <w:pPr>
        <w:pStyle w:val="NoSpacing"/>
        <w:numPr>
          <w:ilvl w:val="0"/>
          <w:numId w:val="9"/>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 xml:space="preserve">Floating Rate Notes: No more than 10%  </w:t>
      </w:r>
    </w:p>
    <w:p w14:paraId="09ADE250" w14:textId="77777777" w:rsidR="0022004C" w:rsidRPr="00500C8D" w:rsidRDefault="0022004C" w:rsidP="0022004C">
      <w:pPr>
        <w:pStyle w:val="NoSpacing"/>
        <w:ind w:left="0"/>
        <w:jc w:val="both"/>
        <w:rPr>
          <w:rFonts w:ascii="Tahoma" w:eastAsia="Arial" w:hAnsi="Tahoma" w:cs="Tahoma"/>
          <w:color w:val="000000" w:themeColor="text1"/>
          <w:spacing w:val="-1"/>
          <w:sz w:val="20"/>
          <w:szCs w:val="16"/>
        </w:rPr>
      </w:pPr>
    </w:p>
    <w:p w14:paraId="6ECFD387" w14:textId="77777777" w:rsidR="0022004C" w:rsidRPr="00500C8D" w:rsidRDefault="002C7AB0" w:rsidP="0022004C">
      <w:pPr>
        <w:pStyle w:val="NoSpacing"/>
        <w:ind w:left="0"/>
        <w:jc w:val="both"/>
        <w:rPr>
          <w:rFonts w:ascii="Tahoma" w:eastAsia="Arial" w:hAnsi="Tahoma" w:cs="Tahoma"/>
          <w:color w:val="000000" w:themeColor="text1"/>
          <w:spacing w:val="-1"/>
          <w:sz w:val="20"/>
          <w:szCs w:val="16"/>
        </w:rPr>
      </w:pPr>
      <w:r>
        <w:rPr>
          <w:rFonts w:ascii="Tahoma" w:eastAsia="Arial" w:hAnsi="Tahoma" w:cs="Tahoma"/>
          <w:b/>
          <w:color w:val="000000" w:themeColor="text1"/>
          <w:spacing w:val="-1"/>
          <w:sz w:val="20"/>
          <w:szCs w:val="16"/>
        </w:rPr>
        <w:t xml:space="preserve">20.  </w:t>
      </w:r>
      <w:r w:rsidR="0022004C" w:rsidRPr="00500C8D">
        <w:rPr>
          <w:rFonts w:ascii="Tahoma" w:eastAsia="Arial" w:hAnsi="Tahoma" w:cs="Tahoma"/>
          <w:b/>
          <w:color w:val="000000" w:themeColor="text1"/>
          <w:spacing w:val="-1"/>
          <w:sz w:val="20"/>
          <w:szCs w:val="16"/>
        </w:rPr>
        <w:t>Maturity Parameters</w:t>
      </w:r>
      <w:r w:rsidR="0022004C" w:rsidRPr="00500C8D">
        <w:rPr>
          <w:rFonts w:ascii="Tahoma" w:eastAsia="Arial" w:hAnsi="Tahoma" w:cs="Tahoma"/>
          <w:color w:val="000000" w:themeColor="text1"/>
          <w:spacing w:val="-1"/>
          <w:sz w:val="20"/>
          <w:szCs w:val="16"/>
        </w:rPr>
        <w:t xml:space="preserve">  </w:t>
      </w:r>
    </w:p>
    <w:p w14:paraId="35F2D249" w14:textId="77777777" w:rsidR="0022004C" w:rsidRPr="00500C8D" w:rsidRDefault="0022004C" w:rsidP="0022004C">
      <w:pPr>
        <w:pStyle w:val="NoSpacing"/>
        <w:ind w:left="0"/>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 xml:space="preserve">The investment program shall follow the following maturity parameters </w:t>
      </w:r>
      <w:r w:rsidRPr="00500C8D">
        <w:rPr>
          <w:rFonts w:ascii="Tahoma" w:eastAsia="Arial" w:hAnsi="Tahoma" w:cs="Tahoma"/>
          <w:i/>
          <w:iCs/>
          <w:color w:val="000000" w:themeColor="text1"/>
          <w:spacing w:val="-1"/>
          <w:sz w:val="20"/>
          <w:szCs w:val="16"/>
        </w:rPr>
        <w:t>(examples below)</w:t>
      </w:r>
      <w:r w:rsidRPr="00500C8D">
        <w:rPr>
          <w:rFonts w:ascii="Tahoma" w:eastAsia="Arial" w:hAnsi="Tahoma" w:cs="Tahoma"/>
          <w:color w:val="000000" w:themeColor="text1"/>
          <w:spacing w:val="-1"/>
          <w:sz w:val="20"/>
          <w:szCs w:val="16"/>
        </w:rPr>
        <w:t>:</w:t>
      </w:r>
    </w:p>
    <w:p w14:paraId="3F7A1841" w14:textId="77777777" w:rsidR="0022004C" w:rsidRPr="00500C8D" w:rsidRDefault="0022004C" w:rsidP="0022004C">
      <w:pPr>
        <w:pStyle w:val="NoSpacing"/>
        <w:ind w:left="0"/>
        <w:jc w:val="both"/>
        <w:rPr>
          <w:rFonts w:ascii="Tahoma" w:eastAsia="Arial" w:hAnsi="Tahoma" w:cs="Tahoma"/>
          <w:color w:val="000000" w:themeColor="text1"/>
          <w:spacing w:val="-1"/>
          <w:sz w:val="8"/>
          <w:szCs w:val="8"/>
        </w:rPr>
      </w:pPr>
    </w:p>
    <w:p w14:paraId="4A01585E" w14:textId="77777777" w:rsidR="0022004C" w:rsidRPr="00500C8D" w:rsidRDefault="0022004C" w:rsidP="0022004C">
      <w:pPr>
        <w:pStyle w:val="NoSpacing"/>
        <w:numPr>
          <w:ilvl w:val="0"/>
          <w:numId w:val="10"/>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 xml:space="preserve">Weighted Average Maturity no greater than 3.5 years (using state final maturity) </w:t>
      </w:r>
    </w:p>
    <w:p w14:paraId="30A7F76D" w14:textId="77777777" w:rsidR="0022004C" w:rsidRPr="00500C8D" w:rsidRDefault="0022004C" w:rsidP="0022004C">
      <w:pPr>
        <w:pStyle w:val="NoSpacing"/>
        <w:numPr>
          <w:ilvl w:val="0"/>
          <w:numId w:val="10"/>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 xml:space="preserve">Weighted Average Maturity of bond proceeds and reserve funds may be longer than 3.5 years </w:t>
      </w:r>
    </w:p>
    <w:p w14:paraId="36CBCBF1" w14:textId="77777777" w:rsidR="0022004C" w:rsidRDefault="0022004C" w:rsidP="0022004C">
      <w:pPr>
        <w:pStyle w:val="NoSpacing"/>
        <w:numPr>
          <w:ilvl w:val="0"/>
          <w:numId w:val="10"/>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At least 5% of the investment pool maturing within 90 days</w:t>
      </w:r>
    </w:p>
    <w:p w14:paraId="435BB0FF" w14:textId="77777777" w:rsidR="00B125C1" w:rsidRPr="00500C8D" w:rsidRDefault="00B125C1" w:rsidP="0022004C">
      <w:pPr>
        <w:pStyle w:val="NoSpacing"/>
        <w:numPr>
          <w:ilvl w:val="0"/>
          <w:numId w:val="10"/>
        </w:numPr>
        <w:jc w:val="both"/>
        <w:rPr>
          <w:rFonts w:ascii="Tahoma" w:eastAsia="Arial" w:hAnsi="Tahoma" w:cs="Tahoma"/>
          <w:color w:val="000000" w:themeColor="text1"/>
          <w:spacing w:val="-1"/>
          <w:sz w:val="20"/>
          <w:szCs w:val="16"/>
        </w:rPr>
      </w:pPr>
      <w:r>
        <w:rPr>
          <w:rFonts w:ascii="Tahoma" w:eastAsia="Arial" w:hAnsi="Tahoma" w:cs="Tahoma"/>
          <w:color w:val="000000" w:themeColor="text1"/>
          <w:spacing w:val="-1"/>
          <w:sz w:val="20"/>
          <w:szCs w:val="16"/>
        </w:rPr>
        <w:t>No signal security’s maturity shall be longer than 10 years</w:t>
      </w:r>
    </w:p>
    <w:p w14:paraId="2FA1F550" w14:textId="77777777" w:rsidR="0022004C" w:rsidRDefault="0022004C" w:rsidP="0022004C">
      <w:pPr>
        <w:pStyle w:val="NoSpacing"/>
        <w:ind w:left="0"/>
        <w:jc w:val="both"/>
        <w:rPr>
          <w:rFonts w:ascii="Tahoma" w:eastAsia="Arial" w:hAnsi="Tahoma" w:cs="Tahoma"/>
          <w:color w:val="000000" w:themeColor="text1"/>
          <w:spacing w:val="-1"/>
          <w:sz w:val="20"/>
          <w:szCs w:val="16"/>
        </w:rPr>
      </w:pPr>
    </w:p>
    <w:p w14:paraId="734CCD42" w14:textId="77777777" w:rsidR="00786743" w:rsidRDefault="00786743" w:rsidP="0022004C">
      <w:pPr>
        <w:pStyle w:val="NoSpacing"/>
        <w:ind w:left="0"/>
        <w:jc w:val="both"/>
        <w:rPr>
          <w:rFonts w:ascii="Tahoma" w:eastAsia="Arial" w:hAnsi="Tahoma" w:cs="Tahoma"/>
          <w:color w:val="000000" w:themeColor="text1"/>
          <w:spacing w:val="-1"/>
          <w:sz w:val="20"/>
          <w:szCs w:val="16"/>
        </w:rPr>
      </w:pPr>
    </w:p>
    <w:p w14:paraId="646B5CF4" w14:textId="77777777" w:rsidR="00786743" w:rsidRDefault="00786743" w:rsidP="0022004C">
      <w:pPr>
        <w:pStyle w:val="NoSpacing"/>
        <w:ind w:left="0"/>
        <w:jc w:val="both"/>
        <w:rPr>
          <w:rFonts w:ascii="Tahoma" w:eastAsia="Arial" w:hAnsi="Tahoma" w:cs="Tahoma"/>
          <w:color w:val="000000" w:themeColor="text1"/>
          <w:spacing w:val="-1"/>
          <w:sz w:val="20"/>
          <w:szCs w:val="16"/>
        </w:rPr>
      </w:pPr>
    </w:p>
    <w:p w14:paraId="05D9DFC6" w14:textId="77777777" w:rsidR="00786743" w:rsidRPr="00500C8D" w:rsidRDefault="00786743" w:rsidP="0022004C">
      <w:pPr>
        <w:pStyle w:val="NoSpacing"/>
        <w:ind w:left="0"/>
        <w:jc w:val="both"/>
        <w:rPr>
          <w:rFonts w:ascii="Tahoma" w:eastAsia="Arial" w:hAnsi="Tahoma" w:cs="Tahoma"/>
          <w:color w:val="000000" w:themeColor="text1"/>
          <w:spacing w:val="-1"/>
          <w:sz w:val="20"/>
          <w:szCs w:val="16"/>
        </w:rPr>
      </w:pPr>
    </w:p>
    <w:p w14:paraId="126A6E52" w14:textId="77777777" w:rsidR="0022004C" w:rsidRPr="00500C8D" w:rsidRDefault="002C7AB0" w:rsidP="0022004C">
      <w:pPr>
        <w:pStyle w:val="NoSpacing"/>
        <w:ind w:left="0"/>
        <w:jc w:val="both"/>
        <w:rPr>
          <w:rFonts w:ascii="Tahoma" w:eastAsia="Arial" w:hAnsi="Tahoma" w:cs="Tahoma"/>
          <w:color w:val="000000" w:themeColor="text1"/>
          <w:spacing w:val="-1"/>
          <w:sz w:val="20"/>
          <w:szCs w:val="16"/>
        </w:rPr>
      </w:pPr>
      <w:r>
        <w:rPr>
          <w:rFonts w:ascii="Tahoma" w:eastAsia="Arial" w:hAnsi="Tahoma" w:cs="Tahoma"/>
          <w:b/>
          <w:color w:val="000000" w:themeColor="text1"/>
          <w:spacing w:val="-1"/>
          <w:sz w:val="20"/>
          <w:szCs w:val="16"/>
        </w:rPr>
        <w:lastRenderedPageBreak/>
        <w:t xml:space="preserve">21.  </w:t>
      </w:r>
      <w:r w:rsidR="0022004C" w:rsidRPr="00500C8D">
        <w:rPr>
          <w:rFonts w:ascii="Tahoma" w:eastAsia="Arial" w:hAnsi="Tahoma" w:cs="Tahoma"/>
          <w:b/>
          <w:color w:val="000000" w:themeColor="text1"/>
          <w:spacing w:val="-1"/>
          <w:sz w:val="20"/>
          <w:szCs w:val="16"/>
        </w:rPr>
        <w:t>Investment Transaction Parameters</w:t>
      </w:r>
      <w:r w:rsidR="0022004C" w:rsidRPr="00500C8D">
        <w:rPr>
          <w:rFonts w:ascii="Tahoma" w:eastAsia="Arial" w:hAnsi="Tahoma" w:cs="Tahoma"/>
          <w:color w:val="000000" w:themeColor="text1"/>
          <w:spacing w:val="-1"/>
          <w:sz w:val="20"/>
          <w:szCs w:val="16"/>
        </w:rPr>
        <w:t xml:space="preserve"> </w:t>
      </w:r>
    </w:p>
    <w:p w14:paraId="18170CE5" w14:textId="77777777" w:rsidR="0022004C" w:rsidRPr="00500C8D" w:rsidRDefault="0022004C" w:rsidP="0022004C">
      <w:pPr>
        <w:pStyle w:val="NoSpacing"/>
        <w:ind w:left="0"/>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The investment program shall follow the following investment transaction parameters</w:t>
      </w:r>
      <w:r w:rsidR="00BA0677" w:rsidRPr="00500C8D">
        <w:rPr>
          <w:rFonts w:ascii="Tahoma" w:eastAsia="Arial" w:hAnsi="Tahoma" w:cs="Tahoma"/>
          <w:color w:val="000000" w:themeColor="text1"/>
          <w:spacing w:val="-1"/>
          <w:sz w:val="20"/>
          <w:szCs w:val="16"/>
        </w:rPr>
        <w:t xml:space="preserve"> </w:t>
      </w:r>
      <w:r w:rsidR="00BA0677" w:rsidRPr="00500C8D">
        <w:rPr>
          <w:rFonts w:ascii="Tahoma" w:eastAsia="Arial" w:hAnsi="Tahoma" w:cs="Tahoma"/>
          <w:i/>
          <w:iCs/>
          <w:color w:val="000000" w:themeColor="text1"/>
          <w:spacing w:val="-1"/>
          <w:sz w:val="20"/>
          <w:szCs w:val="16"/>
        </w:rPr>
        <w:t>(examples below)</w:t>
      </w:r>
      <w:r w:rsidRPr="00500C8D">
        <w:rPr>
          <w:rFonts w:ascii="Tahoma" w:eastAsia="Arial" w:hAnsi="Tahoma" w:cs="Tahoma"/>
          <w:color w:val="000000" w:themeColor="text1"/>
          <w:spacing w:val="-1"/>
          <w:sz w:val="20"/>
          <w:szCs w:val="16"/>
        </w:rPr>
        <w:t>:</w:t>
      </w:r>
    </w:p>
    <w:p w14:paraId="47565D25" w14:textId="77777777" w:rsidR="0022004C" w:rsidRPr="00500C8D" w:rsidRDefault="0022004C" w:rsidP="0022004C">
      <w:pPr>
        <w:pStyle w:val="NoSpacing"/>
        <w:ind w:left="0"/>
        <w:jc w:val="both"/>
        <w:rPr>
          <w:rFonts w:ascii="Tahoma" w:eastAsia="Arial" w:hAnsi="Tahoma" w:cs="Tahoma"/>
          <w:color w:val="000000" w:themeColor="text1"/>
          <w:spacing w:val="-1"/>
          <w:sz w:val="20"/>
          <w:szCs w:val="16"/>
        </w:rPr>
      </w:pPr>
    </w:p>
    <w:p w14:paraId="574037DF" w14:textId="77777777" w:rsidR="0022004C" w:rsidRPr="00500C8D" w:rsidRDefault="0022004C" w:rsidP="00BA0677">
      <w:pPr>
        <w:pStyle w:val="NoSpacing"/>
        <w:numPr>
          <w:ilvl w:val="0"/>
          <w:numId w:val="12"/>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Obtain at least three offers/bids (when applicable/available)</w:t>
      </w:r>
      <w:r w:rsidR="00B44D25">
        <w:rPr>
          <w:rFonts w:ascii="Tahoma" w:eastAsia="Arial" w:hAnsi="Tahoma" w:cs="Tahoma"/>
          <w:color w:val="000000" w:themeColor="text1"/>
          <w:spacing w:val="-1"/>
          <w:sz w:val="20"/>
          <w:szCs w:val="16"/>
        </w:rPr>
        <w:t xml:space="preserve"> or obtain independent third-party pricing</w:t>
      </w:r>
    </w:p>
    <w:p w14:paraId="55AC4146" w14:textId="77777777" w:rsidR="00BA0677" w:rsidRPr="00500C8D" w:rsidRDefault="0022004C" w:rsidP="00BA0677">
      <w:pPr>
        <w:pStyle w:val="NoSpacing"/>
        <w:numPr>
          <w:ilvl w:val="0"/>
          <w:numId w:val="12"/>
        </w:numPr>
        <w:jc w:val="both"/>
        <w:rPr>
          <w:rFonts w:ascii="Tahoma" w:eastAsia="Arial" w:hAnsi="Tahoma" w:cs="Tahoma"/>
          <w:color w:val="000000" w:themeColor="text1"/>
          <w:spacing w:val="-1"/>
          <w:sz w:val="20"/>
          <w:szCs w:val="16"/>
        </w:rPr>
      </w:pPr>
      <w:r w:rsidRPr="00500C8D">
        <w:rPr>
          <w:rFonts w:ascii="Tahoma" w:eastAsia="Arial" w:hAnsi="Tahoma" w:cs="Tahoma"/>
          <w:color w:val="000000" w:themeColor="text1"/>
          <w:spacing w:val="-1"/>
          <w:sz w:val="20"/>
          <w:szCs w:val="16"/>
        </w:rPr>
        <w:t>Forward settlement time limit of not more than 30 days</w:t>
      </w:r>
    </w:p>
    <w:p w14:paraId="4C50FD69" w14:textId="77777777" w:rsidR="00BA0677" w:rsidRPr="00500C8D" w:rsidRDefault="00BA0677" w:rsidP="0022004C">
      <w:pPr>
        <w:pStyle w:val="NoSpacing"/>
        <w:ind w:left="0"/>
        <w:jc w:val="both"/>
        <w:rPr>
          <w:rFonts w:ascii="Tahoma" w:hAnsi="Tahoma" w:cs="Tahoma"/>
          <w:color w:val="000000" w:themeColor="text1"/>
          <w:sz w:val="20"/>
        </w:rPr>
      </w:pPr>
    </w:p>
    <w:p w14:paraId="5A167CF6" w14:textId="77777777" w:rsidR="00B445FD" w:rsidRDefault="002C7AB0"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 xml:space="preserve">22.  </w:t>
      </w:r>
      <w:r w:rsidR="009D6D51">
        <w:rPr>
          <w:rFonts w:ascii="Tahoma" w:hAnsi="Tahoma" w:cs="Tahoma"/>
          <w:b/>
          <w:bCs/>
          <w:color w:val="000000" w:themeColor="text1"/>
          <w:sz w:val="20"/>
        </w:rPr>
        <w:t>Calculation Parameters</w:t>
      </w:r>
    </w:p>
    <w:p w14:paraId="2BC4BEB6" w14:textId="62BD0732" w:rsidR="00B445FD" w:rsidRPr="00500C8D" w:rsidRDefault="009D6D51" w:rsidP="00BA0677">
      <w:pPr>
        <w:pStyle w:val="NoSpacing"/>
        <w:ind w:left="0"/>
        <w:jc w:val="both"/>
        <w:rPr>
          <w:rFonts w:ascii="Tahoma" w:hAnsi="Tahoma" w:cs="Tahoma"/>
          <w:b/>
          <w:bCs/>
          <w:color w:val="000000" w:themeColor="text1"/>
          <w:sz w:val="20"/>
        </w:rPr>
      </w:pPr>
      <w:r>
        <w:rPr>
          <w:rFonts w:ascii="Tahoma" w:hAnsi="Tahoma" w:cs="Tahoma"/>
          <w:bCs/>
          <w:color w:val="000000" w:themeColor="text1"/>
          <w:sz w:val="20"/>
        </w:rPr>
        <w:t xml:space="preserve">Calculations </w:t>
      </w:r>
      <w:r w:rsidR="00845ADB">
        <w:rPr>
          <w:rFonts w:ascii="Tahoma" w:hAnsi="Tahoma" w:cs="Tahoma"/>
          <w:bCs/>
          <w:color w:val="000000" w:themeColor="text1"/>
          <w:sz w:val="20"/>
        </w:rPr>
        <w:t xml:space="preserve">of percentage allocations </w:t>
      </w:r>
      <w:r>
        <w:rPr>
          <w:rFonts w:ascii="Tahoma" w:hAnsi="Tahoma" w:cs="Tahoma"/>
          <w:bCs/>
          <w:color w:val="000000" w:themeColor="text1"/>
          <w:sz w:val="20"/>
        </w:rPr>
        <w:t xml:space="preserve">shall be done at </w:t>
      </w:r>
      <w:r w:rsidR="00845ADB">
        <w:rPr>
          <w:rFonts w:ascii="Tahoma" w:hAnsi="Tahoma" w:cs="Tahoma"/>
          <w:bCs/>
          <w:color w:val="000000" w:themeColor="text1"/>
          <w:sz w:val="20"/>
        </w:rPr>
        <w:t xml:space="preserve">the </w:t>
      </w:r>
      <w:r>
        <w:rPr>
          <w:rFonts w:ascii="Tahoma" w:hAnsi="Tahoma" w:cs="Tahoma"/>
          <w:bCs/>
          <w:color w:val="000000" w:themeColor="text1"/>
          <w:sz w:val="20"/>
        </w:rPr>
        <w:t>time of purcha</w:t>
      </w:r>
      <w:r w:rsidR="007A7CBB">
        <w:rPr>
          <w:rFonts w:ascii="Tahoma" w:hAnsi="Tahoma" w:cs="Tahoma"/>
          <w:bCs/>
          <w:color w:val="000000" w:themeColor="text1"/>
          <w:sz w:val="20"/>
        </w:rPr>
        <w:t>se and formulated on book value</w:t>
      </w:r>
      <w:r w:rsidR="00B44D25">
        <w:rPr>
          <w:rFonts w:ascii="Tahoma" w:hAnsi="Tahoma" w:cs="Tahoma"/>
          <w:bCs/>
          <w:color w:val="000000" w:themeColor="text1"/>
          <w:sz w:val="20"/>
        </w:rPr>
        <w:t xml:space="preserve"> (or market value)</w:t>
      </w:r>
      <w:r w:rsidR="007A7CBB">
        <w:rPr>
          <w:rFonts w:ascii="Tahoma" w:hAnsi="Tahoma" w:cs="Tahoma"/>
          <w:bCs/>
          <w:color w:val="000000" w:themeColor="text1"/>
          <w:sz w:val="20"/>
        </w:rPr>
        <w:t xml:space="preserve">.  Weighted average maturity is calculated using a security’s stated final maturity and using </w:t>
      </w:r>
      <w:r w:rsidR="00DE4046">
        <w:rPr>
          <w:rFonts w:ascii="Tahoma" w:hAnsi="Tahoma" w:cs="Tahoma"/>
          <w:bCs/>
          <w:color w:val="000000" w:themeColor="text1"/>
          <w:sz w:val="20"/>
        </w:rPr>
        <w:t xml:space="preserve">the </w:t>
      </w:r>
      <w:r w:rsidR="007A7CBB">
        <w:rPr>
          <w:rFonts w:ascii="Tahoma" w:hAnsi="Tahoma" w:cs="Tahoma"/>
          <w:bCs/>
          <w:color w:val="000000" w:themeColor="text1"/>
          <w:sz w:val="20"/>
        </w:rPr>
        <w:t>settlement</w:t>
      </w:r>
      <w:r w:rsidR="00DE4046">
        <w:rPr>
          <w:rFonts w:ascii="Tahoma" w:hAnsi="Tahoma" w:cs="Tahoma"/>
          <w:bCs/>
          <w:color w:val="000000" w:themeColor="text1"/>
          <w:sz w:val="20"/>
        </w:rPr>
        <w:t xml:space="preserve"> date (or trade date)</w:t>
      </w:r>
      <w:r w:rsidR="007A7CBB">
        <w:rPr>
          <w:rFonts w:ascii="Tahoma" w:hAnsi="Tahoma" w:cs="Tahoma"/>
          <w:bCs/>
          <w:color w:val="000000" w:themeColor="text1"/>
          <w:sz w:val="20"/>
        </w:rPr>
        <w:t xml:space="preserve">. </w:t>
      </w:r>
      <w:r w:rsidR="00B44D25">
        <w:rPr>
          <w:rFonts w:ascii="Tahoma" w:hAnsi="Tahoma" w:cs="Tahoma"/>
          <w:bCs/>
          <w:color w:val="000000" w:themeColor="text1"/>
          <w:sz w:val="20"/>
        </w:rPr>
        <w:t xml:space="preserve"> (Note: Information on securities </w:t>
      </w:r>
      <w:r w:rsidR="001276B4">
        <w:rPr>
          <w:rFonts w:ascii="Tahoma" w:hAnsi="Tahoma" w:cs="Tahoma"/>
          <w:bCs/>
          <w:color w:val="000000" w:themeColor="text1"/>
          <w:sz w:val="20"/>
        </w:rPr>
        <w:t>which have been purchased/sold but have not settled, may be included.)</w:t>
      </w:r>
    </w:p>
    <w:p w14:paraId="35D521B0" w14:textId="77777777" w:rsidR="00B445FD" w:rsidRPr="00500C8D" w:rsidRDefault="00B445FD" w:rsidP="00BA0677">
      <w:pPr>
        <w:pStyle w:val="NoSpacing"/>
        <w:ind w:left="0"/>
        <w:jc w:val="both"/>
        <w:rPr>
          <w:rFonts w:ascii="Tahoma" w:hAnsi="Tahoma" w:cs="Tahoma"/>
          <w:b/>
          <w:bCs/>
          <w:color w:val="000000" w:themeColor="text1"/>
          <w:sz w:val="20"/>
        </w:rPr>
      </w:pPr>
    </w:p>
    <w:p w14:paraId="4C7A210C" w14:textId="77777777" w:rsidR="00BA0677" w:rsidRPr="00500C8D" w:rsidRDefault="002C7AB0"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 xml:space="preserve">23.  </w:t>
      </w:r>
      <w:r w:rsidR="00BA0677" w:rsidRPr="00500C8D">
        <w:rPr>
          <w:rFonts w:ascii="Tahoma" w:hAnsi="Tahoma" w:cs="Tahoma"/>
          <w:b/>
          <w:bCs/>
          <w:color w:val="000000" w:themeColor="text1"/>
          <w:sz w:val="20"/>
        </w:rPr>
        <w:t>Authorized Financial Institutions</w:t>
      </w:r>
    </w:p>
    <w:p w14:paraId="0452A779"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The [designated official] shall deposit funds with banks which comply with all applicable state and federal laws.  The [designated official] may physically possess securities, which must be registered in the name of the [entity], or may make an agreement, in writing, with any qualified bank, custodian, or trust to hold those securities for, and in the name of [entity].  The bank, custodian, or trust shall furnish the [designated official] a written statement acknowledging that the securities are held in the name of the [entity].</w:t>
      </w:r>
    </w:p>
    <w:p w14:paraId="71EF85D3" w14:textId="77777777" w:rsidR="00BA0677" w:rsidRPr="00500C8D" w:rsidRDefault="00BA0677" w:rsidP="00BA0677">
      <w:pPr>
        <w:pStyle w:val="NoSpacing"/>
        <w:ind w:left="0"/>
        <w:jc w:val="both"/>
        <w:rPr>
          <w:rFonts w:ascii="Tahoma" w:hAnsi="Tahoma" w:cs="Tahoma"/>
          <w:color w:val="000000" w:themeColor="text1"/>
          <w:sz w:val="20"/>
        </w:rPr>
      </w:pPr>
    </w:p>
    <w:p w14:paraId="0CEDEAB0" w14:textId="77777777" w:rsidR="00BA0677" w:rsidRPr="00500C8D" w:rsidRDefault="002C7AB0"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 xml:space="preserve">24.  </w:t>
      </w:r>
      <w:r w:rsidR="00BA0677" w:rsidRPr="00500C8D">
        <w:rPr>
          <w:rFonts w:ascii="Tahoma" w:hAnsi="Tahoma" w:cs="Tahoma"/>
          <w:b/>
          <w:bCs/>
          <w:color w:val="000000" w:themeColor="text1"/>
          <w:sz w:val="20"/>
        </w:rPr>
        <w:t>Collateralization</w:t>
      </w:r>
    </w:p>
    <w:p w14:paraId="1E511F4E" w14:textId="77777777" w:rsidR="00BA0677"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All [entity] money deposited with a bank, savings and loan, savings bank or credit union including checking accounts, savings accounts, NOW accounts, nonnegotiable certificates of deposit, time deposits or similar type accounts provided by the financial institution in excess of the amount of federal insurance will be fully collateralized in accordance with [state law, etc.]</w:t>
      </w:r>
      <w:r w:rsidR="00BD5C83" w:rsidRPr="00500C8D">
        <w:rPr>
          <w:rFonts w:ascii="Tahoma" w:hAnsi="Tahoma" w:cs="Tahoma"/>
          <w:color w:val="000000" w:themeColor="text1"/>
          <w:sz w:val="20"/>
        </w:rPr>
        <w:t>.</w:t>
      </w:r>
      <w:r w:rsidR="007A7CBB">
        <w:rPr>
          <w:rFonts w:ascii="Tahoma" w:hAnsi="Tahoma" w:cs="Tahoma"/>
          <w:color w:val="000000" w:themeColor="text1"/>
          <w:sz w:val="20"/>
        </w:rPr>
        <w:t xml:space="preserve">  (Repurchase agreement/reverse repurchase agreement/securities lending collateral could be delineated in the Authorized Investment section, if applicable). </w:t>
      </w:r>
    </w:p>
    <w:p w14:paraId="292AC41C" w14:textId="77777777" w:rsidR="001276B4" w:rsidRPr="00500C8D" w:rsidRDefault="001276B4" w:rsidP="00BA0677">
      <w:pPr>
        <w:pStyle w:val="NoSpacing"/>
        <w:ind w:left="0"/>
        <w:jc w:val="both"/>
        <w:rPr>
          <w:rFonts w:ascii="Tahoma" w:hAnsi="Tahoma" w:cs="Tahoma"/>
          <w:color w:val="000000" w:themeColor="text1"/>
          <w:sz w:val="20"/>
        </w:rPr>
      </w:pPr>
    </w:p>
    <w:p w14:paraId="68B238AA" w14:textId="77777777" w:rsidR="00BA0677" w:rsidRPr="00500C8D" w:rsidRDefault="002C7AB0"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 xml:space="preserve">25.  </w:t>
      </w:r>
      <w:r w:rsidR="00BA0677" w:rsidRPr="00500C8D">
        <w:rPr>
          <w:rFonts w:ascii="Tahoma" w:hAnsi="Tahoma" w:cs="Tahoma"/>
          <w:b/>
          <w:bCs/>
          <w:color w:val="000000" w:themeColor="text1"/>
          <w:sz w:val="20"/>
        </w:rPr>
        <w:t xml:space="preserve">Authorized Investment Advisors  </w:t>
      </w:r>
      <w:r>
        <w:rPr>
          <w:rFonts w:ascii="Tahoma" w:hAnsi="Tahoma" w:cs="Tahoma"/>
          <w:b/>
          <w:bCs/>
          <w:color w:val="000000" w:themeColor="text1"/>
          <w:sz w:val="20"/>
        </w:rPr>
        <w:t>(If applicable)</w:t>
      </w:r>
    </w:p>
    <w:p w14:paraId="1834D170"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w:t>
      </w:r>
      <w:r w:rsidR="00BD5C83" w:rsidRPr="00500C8D">
        <w:rPr>
          <w:rFonts w:ascii="Tahoma" w:hAnsi="Tahoma" w:cs="Tahoma"/>
          <w:color w:val="000000" w:themeColor="text1"/>
          <w:sz w:val="20"/>
        </w:rPr>
        <w:t>[entity]</w:t>
      </w:r>
      <w:r w:rsidRPr="00500C8D">
        <w:rPr>
          <w:rFonts w:ascii="Tahoma" w:hAnsi="Tahoma" w:cs="Tahoma"/>
          <w:color w:val="000000" w:themeColor="text1"/>
          <w:sz w:val="20"/>
        </w:rPr>
        <w:t xml:space="preserve"> may enter into an agreement with an investment advisor for investment management/advisory services, and the investment advisor will operate under the direction of the </w:t>
      </w:r>
      <w:r w:rsidR="00BD5C83"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The investment advisor shall be registered with the Securities and Exchange Commission under the Investment Advisers Act of 1940.  The investment advisor shall submit on an annual basis to the </w:t>
      </w:r>
      <w:r w:rsidR="00BD5C83"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form ADV Part 1 and form ADV Part 2</w:t>
      </w:r>
      <w:r w:rsidR="007A7CBB">
        <w:rPr>
          <w:rFonts w:ascii="Tahoma" w:hAnsi="Tahoma" w:cs="Tahoma"/>
          <w:color w:val="000000" w:themeColor="text1"/>
          <w:sz w:val="20"/>
        </w:rPr>
        <w:t>A</w:t>
      </w:r>
      <w:r w:rsidRPr="00500C8D">
        <w:rPr>
          <w:rFonts w:ascii="Tahoma" w:hAnsi="Tahoma" w:cs="Tahoma"/>
          <w:color w:val="000000" w:themeColor="text1"/>
          <w:sz w:val="20"/>
        </w:rPr>
        <w:t>.</w:t>
      </w:r>
    </w:p>
    <w:p w14:paraId="3D537CF2" w14:textId="77777777" w:rsidR="00BA0677" w:rsidRPr="00500C8D" w:rsidRDefault="00BA0677" w:rsidP="00BA0677">
      <w:pPr>
        <w:pStyle w:val="NoSpacing"/>
        <w:ind w:left="0"/>
        <w:jc w:val="both"/>
        <w:rPr>
          <w:rFonts w:ascii="Tahoma" w:hAnsi="Tahoma" w:cs="Tahoma"/>
          <w:color w:val="000000" w:themeColor="text1"/>
          <w:sz w:val="20"/>
        </w:rPr>
      </w:pPr>
    </w:p>
    <w:p w14:paraId="46ED1FCA" w14:textId="77777777" w:rsidR="00BA0677" w:rsidRPr="00500C8D" w:rsidRDefault="002C7AB0"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 xml:space="preserve">26.  </w:t>
      </w:r>
      <w:r w:rsidR="00BA0677" w:rsidRPr="00500C8D">
        <w:rPr>
          <w:rFonts w:ascii="Tahoma" w:hAnsi="Tahoma" w:cs="Tahoma"/>
          <w:b/>
          <w:bCs/>
          <w:color w:val="000000" w:themeColor="text1"/>
          <w:sz w:val="20"/>
        </w:rPr>
        <w:t>Authorized Broker/Dealers</w:t>
      </w:r>
    </w:p>
    <w:p w14:paraId="11E953FD"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All transactions initiated on behalf of the </w:t>
      </w:r>
      <w:r w:rsidR="00BD5C83" w:rsidRPr="00500C8D">
        <w:rPr>
          <w:rFonts w:ascii="Tahoma" w:hAnsi="Tahoma" w:cs="Tahoma"/>
          <w:color w:val="000000" w:themeColor="text1"/>
          <w:sz w:val="20"/>
        </w:rPr>
        <w:t>[entity]</w:t>
      </w:r>
      <w:r w:rsidRPr="00500C8D">
        <w:rPr>
          <w:rFonts w:ascii="Tahoma" w:hAnsi="Tahoma" w:cs="Tahoma"/>
          <w:color w:val="000000" w:themeColor="text1"/>
          <w:sz w:val="20"/>
        </w:rPr>
        <w:t xml:space="preserve"> shall be executed through either banks or securities broker/dealers.  Broker/dealers must either be primary dealers, regional dealers, or regional dealers that clear transactions through a dealer which qualifies under Securities and Exchange Commission Rule 15C3-1 (uniform net capital rule), and must have been in operation at least three years.  </w:t>
      </w:r>
    </w:p>
    <w:p w14:paraId="3F47CEF3" w14:textId="77777777" w:rsidR="00BA0677" w:rsidRPr="00500C8D" w:rsidRDefault="00BA0677" w:rsidP="00BA0677">
      <w:pPr>
        <w:pStyle w:val="NoSpacing"/>
        <w:ind w:left="0"/>
        <w:jc w:val="both"/>
        <w:rPr>
          <w:rFonts w:ascii="Tahoma" w:hAnsi="Tahoma" w:cs="Tahoma"/>
          <w:color w:val="000000" w:themeColor="text1"/>
          <w:sz w:val="20"/>
        </w:rPr>
      </w:pPr>
    </w:p>
    <w:p w14:paraId="40DB2967" w14:textId="77777777" w:rsidR="00BA0677" w:rsidRPr="00500C8D" w:rsidRDefault="001276B4" w:rsidP="00BA0677">
      <w:pPr>
        <w:pStyle w:val="NoSpacing"/>
        <w:ind w:left="0"/>
        <w:jc w:val="both"/>
        <w:rPr>
          <w:rFonts w:ascii="Tahoma" w:hAnsi="Tahoma" w:cs="Tahoma"/>
          <w:color w:val="000000" w:themeColor="text1"/>
          <w:sz w:val="20"/>
        </w:rPr>
      </w:pPr>
      <w:r>
        <w:rPr>
          <w:rFonts w:ascii="Tahoma" w:hAnsi="Tahoma" w:cs="Tahoma"/>
          <w:color w:val="000000" w:themeColor="text1"/>
          <w:sz w:val="20"/>
        </w:rPr>
        <w:t>T</w:t>
      </w:r>
      <w:r w:rsidR="00BA0677" w:rsidRPr="00500C8D">
        <w:rPr>
          <w:rFonts w:ascii="Tahoma" w:hAnsi="Tahoma" w:cs="Tahoma"/>
          <w:color w:val="000000" w:themeColor="text1"/>
          <w:sz w:val="20"/>
        </w:rPr>
        <w:t xml:space="preserve">he </w:t>
      </w:r>
      <w:r w:rsidR="00BD5C83" w:rsidRPr="00500C8D">
        <w:rPr>
          <w:rFonts w:ascii="Tahoma" w:hAnsi="Tahoma" w:cs="Tahoma"/>
          <w:color w:val="000000" w:themeColor="text1"/>
          <w:sz w:val="20"/>
        </w:rPr>
        <w:t>[designated official]</w:t>
      </w:r>
      <w:r w:rsidR="00BA0677" w:rsidRPr="00500C8D">
        <w:rPr>
          <w:rFonts w:ascii="Tahoma" w:hAnsi="Tahoma" w:cs="Tahoma"/>
          <w:color w:val="000000" w:themeColor="text1"/>
          <w:sz w:val="20"/>
        </w:rPr>
        <w:t xml:space="preserve"> shall approve and maintain a list of broker/dealers and direct issuers authorized to provide investment services to the </w:t>
      </w:r>
      <w:r w:rsidR="00BD5C83" w:rsidRPr="00500C8D">
        <w:rPr>
          <w:rFonts w:ascii="Tahoma" w:hAnsi="Tahoma" w:cs="Tahoma"/>
          <w:color w:val="000000" w:themeColor="text1"/>
          <w:sz w:val="20"/>
        </w:rPr>
        <w:t>[entity]</w:t>
      </w:r>
      <w:r w:rsidR="00BA0677" w:rsidRPr="00500C8D">
        <w:rPr>
          <w:rFonts w:ascii="Tahoma" w:hAnsi="Tahoma" w:cs="Tahoma"/>
          <w:color w:val="000000" w:themeColor="text1"/>
          <w:sz w:val="20"/>
        </w:rPr>
        <w:t xml:space="preserve">. The criteria for approval are described in a separate Investment Procedures Manual maintained by the </w:t>
      </w:r>
      <w:r w:rsidR="00BD5C83" w:rsidRPr="00500C8D">
        <w:rPr>
          <w:rFonts w:ascii="Tahoma" w:hAnsi="Tahoma" w:cs="Tahoma"/>
          <w:color w:val="000000" w:themeColor="text1"/>
          <w:sz w:val="20"/>
        </w:rPr>
        <w:t>[designated official]</w:t>
      </w:r>
      <w:r w:rsidR="00BA0677" w:rsidRPr="00500C8D">
        <w:rPr>
          <w:rFonts w:ascii="Tahoma" w:hAnsi="Tahoma" w:cs="Tahoma"/>
          <w:color w:val="000000" w:themeColor="text1"/>
          <w:sz w:val="20"/>
        </w:rPr>
        <w:t>.</w:t>
      </w:r>
    </w:p>
    <w:p w14:paraId="32D02830" w14:textId="77777777" w:rsidR="00BA0677" w:rsidRPr="00500C8D" w:rsidRDefault="00BA0677" w:rsidP="00BA0677">
      <w:pPr>
        <w:pStyle w:val="NoSpacing"/>
        <w:ind w:left="0"/>
        <w:jc w:val="both"/>
        <w:rPr>
          <w:rFonts w:ascii="Tahoma" w:hAnsi="Tahoma" w:cs="Tahoma"/>
          <w:color w:val="000000" w:themeColor="text1"/>
          <w:sz w:val="20"/>
        </w:rPr>
      </w:pPr>
    </w:p>
    <w:p w14:paraId="76A2961F"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An external investment advisor may use its own list of approved broker/dealers and financial institutions for investment purposes.  The investment advisor shall submit the list of approved broker/dealers to the </w:t>
      </w:r>
      <w:r w:rsidR="00BD5C83"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on an annual basis.  The </w:t>
      </w:r>
      <w:r w:rsidR="00BD5C83"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may restrict the use of a broker/dealer which may be deemed unsuitable.  </w:t>
      </w:r>
    </w:p>
    <w:p w14:paraId="5666178D" w14:textId="77777777" w:rsidR="00BA0677" w:rsidRDefault="00BA0677" w:rsidP="00BA0677">
      <w:pPr>
        <w:pStyle w:val="NoSpacing"/>
        <w:ind w:left="0"/>
        <w:jc w:val="both"/>
        <w:rPr>
          <w:rFonts w:ascii="Tahoma" w:hAnsi="Tahoma" w:cs="Tahoma"/>
          <w:color w:val="000000" w:themeColor="text1"/>
          <w:sz w:val="20"/>
        </w:rPr>
      </w:pPr>
    </w:p>
    <w:p w14:paraId="25A25278" w14:textId="77777777" w:rsidR="00BA0677" w:rsidRPr="00500C8D" w:rsidRDefault="002C7AB0"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lastRenderedPageBreak/>
        <w:t xml:space="preserve">27.  </w:t>
      </w:r>
      <w:r w:rsidR="00BA0677" w:rsidRPr="00500C8D">
        <w:rPr>
          <w:rFonts w:ascii="Tahoma" w:hAnsi="Tahoma" w:cs="Tahoma"/>
          <w:b/>
          <w:bCs/>
          <w:color w:val="000000" w:themeColor="text1"/>
          <w:sz w:val="20"/>
        </w:rPr>
        <w:t>Investment Program Reporting</w:t>
      </w:r>
    </w:p>
    <w:p w14:paraId="5F427BB1" w14:textId="5675F284"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w:t>
      </w:r>
      <w:r w:rsidR="00BD5C83"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shall prepare a monthly</w:t>
      </w:r>
      <w:r w:rsidR="001276B4">
        <w:rPr>
          <w:rFonts w:ascii="Tahoma" w:hAnsi="Tahoma" w:cs="Tahoma"/>
          <w:color w:val="000000" w:themeColor="text1"/>
          <w:sz w:val="20"/>
        </w:rPr>
        <w:t xml:space="preserve"> (GIOA best practice is monthly, but no less than quarterly)</w:t>
      </w:r>
      <w:r w:rsidRPr="00500C8D">
        <w:rPr>
          <w:rFonts w:ascii="Tahoma" w:hAnsi="Tahoma" w:cs="Tahoma"/>
          <w:color w:val="000000" w:themeColor="text1"/>
          <w:sz w:val="20"/>
        </w:rPr>
        <w:t xml:space="preserve"> investment report, which provides an analysis of the investment program.  The report will be placed on the </w:t>
      </w:r>
      <w:r w:rsidR="00BD5C83" w:rsidRPr="00500C8D">
        <w:rPr>
          <w:rFonts w:ascii="Tahoma" w:hAnsi="Tahoma" w:cs="Tahoma"/>
          <w:color w:val="000000" w:themeColor="text1"/>
          <w:sz w:val="20"/>
        </w:rPr>
        <w:t>[entity’s]</w:t>
      </w:r>
      <w:r w:rsidRPr="00500C8D">
        <w:rPr>
          <w:rFonts w:ascii="Tahoma" w:hAnsi="Tahoma" w:cs="Tahoma"/>
          <w:color w:val="000000" w:themeColor="text1"/>
          <w:sz w:val="20"/>
        </w:rPr>
        <w:t xml:space="preserve"> website</w:t>
      </w:r>
      <w:r w:rsidR="00DE4046">
        <w:rPr>
          <w:rFonts w:ascii="Tahoma" w:hAnsi="Tahoma" w:cs="Tahoma"/>
          <w:color w:val="000000" w:themeColor="text1"/>
          <w:sz w:val="20"/>
        </w:rPr>
        <w:t xml:space="preserve"> (also, a GIOA best practice)</w:t>
      </w:r>
      <w:r w:rsidRPr="00500C8D">
        <w:rPr>
          <w:rFonts w:ascii="Tahoma" w:hAnsi="Tahoma" w:cs="Tahoma"/>
          <w:color w:val="000000" w:themeColor="text1"/>
          <w:sz w:val="20"/>
        </w:rPr>
        <w:t xml:space="preserve">.  All funds overseen by the </w:t>
      </w:r>
      <w:r w:rsidR="001F3656"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are accounted for in the </w:t>
      </w:r>
      <w:r w:rsidR="001F3656" w:rsidRPr="00500C8D">
        <w:rPr>
          <w:rFonts w:ascii="Tahoma" w:hAnsi="Tahoma" w:cs="Tahoma"/>
          <w:color w:val="000000" w:themeColor="text1"/>
          <w:sz w:val="20"/>
        </w:rPr>
        <w:t>[entity’s]</w:t>
      </w:r>
      <w:r w:rsidRPr="00500C8D">
        <w:rPr>
          <w:rFonts w:ascii="Tahoma" w:hAnsi="Tahoma" w:cs="Tahoma"/>
          <w:color w:val="000000" w:themeColor="text1"/>
          <w:sz w:val="20"/>
        </w:rPr>
        <w:t xml:space="preserve"> Comprehensive Annual Financial Report.</w:t>
      </w:r>
    </w:p>
    <w:p w14:paraId="149014B0" w14:textId="77777777" w:rsidR="00BA0677" w:rsidRPr="00500C8D" w:rsidRDefault="00BA0677" w:rsidP="00BA0677">
      <w:pPr>
        <w:pStyle w:val="NoSpacing"/>
        <w:ind w:left="0"/>
        <w:jc w:val="both"/>
        <w:rPr>
          <w:rFonts w:ascii="Tahoma" w:hAnsi="Tahoma" w:cs="Tahoma"/>
          <w:color w:val="000000" w:themeColor="text1"/>
          <w:sz w:val="20"/>
        </w:rPr>
      </w:pPr>
    </w:p>
    <w:p w14:paraId="7676602D"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The investment report shall include at least all of the following</w:t>
      </w:r>
      <w:r w:rsidR="007A7CBB">
        <w:rPr>
          <w:rFonts w:ascii="Tahoma" w:hAnsi="Tahoma" w:cs="Tahoma"/>
          <w:color w:val="000000" w:themeColor="text1"/>
          <w:sz w:val="20"/>
        </w:rPr>
        <w:t xml:space="preserve"> (examples below)</w:t>
      </w:r>
      <w:r w:rsidRPr="00500C8D">
        <w:rPr>
          <w:rFonts w:ascii="Tahoma" w:hAnsi="Tahoma" w:cs="Tahoma"/>
          <w:color w:val="000000" w:themeColor="text1"/>
          <w:sz w:val="20"/>
        </w:rPr>
        <w:t xml:space="preserve">:   </w:t>
      </w:r>
    </w:p>
    <w:p w14:paraId="3654A00D" w14:textId="77777777" w:rsidR="00BA0677" w:rsidRPr="00500C8D" w:rsidRDefault="00BA0677" w:rsidP="00BA0677">
      <w:pPr>
        <w:pStyle w:val="NoSpacing"/>
        <w:ind w:left="0"/>
        <w:jc w:val="both"/>
        <w:rPr>
          <w:rFonts w:ascii="Tahoma" w:hAnsi="Tahoma" w:cs="Tahoma"/>
          <w:color w:val="000000" w:themeColor="text1"/>
          <w:sz w:val="20"/>
        </w:rPr>
      </w:pPr>
    </w:p>
    <w:p w14:paraId="678CD661" w14:textId="77777777" w:rsidR="00BA0677" w:rsidRPr="00500C8D" w:rsidRDefault="00BA0677" w:rsidP="001F3656">
      <w:pPr>
        <w:pStyle w:val="NoSpacing"/>
        <w:numPr>
          <w:ilvl w:val="0"/>
          <w:numId w:val="13"/>
        </w:numPr>
        <w:jc w:val="both"/>
        <w:rPr>
          <w:rFonts w:ascii="Tahoma" w:hAnsi="Tahoma" w:cs="Tahoma"/>
          <w:color w:val="000000" w:themeColor="text1"/>
          <w:sz w:val="20"/>
        </w:rPr>
      </w:pPr>
      <w:r w:rsidRPr="00500C8D">
        <w:rPr>
          <w:rFonts w:ascii="Tahoma" w:hAnsi="Tahoma" w:cs="Tahoma"/>
          <w:color w:val="000000" w:themeColor="text1"/>
          <w:sz w:val="20"/>
        </w:rPr>
        <w:t>Portfolio Summary: Weighted average maturity, weighted average book yield, asset allocation by type, maturity distribution, and aggregate book and market value</w:t>
      </w:r>
      <w:r w:rsidR="007A7CBB">
        <w:rPr>
          <w:rFonts w:ascii="Tahoma" w:hAnsi="Tahoma" w:cs="Tahoma"/>
          <w:color w:val="000000" w:themeColor="text1"/>
          <w:sz w:val="20"/>
        </w:rPr>
        <w:t>s</w:t>
      </w:r>
      <w:r w:rsidRPr="00500C8D">
        <w:rPr>
          <w:rFonts w:ascii="Tahoma" w:hAnsi="Tahoma" w:cs="Tahoma"/>
          <w:color w:val="000000" w:themeColor="text1"/>
          <w:sz w:val="20"/>
        </w:rPr>
        <w:t xml:space="preserve"> </w:t>
      </w:r>
    </w:p>
    <w:p w14:paraId="21094844" w14:textId="77777777" w:rsidR="00BA0677" w:rsidRPr="00500C8D" w:rsidRDefault="00BA0677" w:rsidP="001F3656">
      <w:pPr>
        <w:pStyle w:val="NoSpacing"/>
        <w:numPr>
          <w:ilvl w:val="0"/>
          <w:numId w:val="13"/>
        </w:numPr>
        <w:jc w:val="both"/>
        <w:rPr>
          <w:rFonts w:ascii="Tahoma" w:hAnsi="Tahoma" w:cs="Tahoma"/>
          <w:color w:val="000000" w:themeColor="text1"/>
          <w:sz w:val="20"/>
        </w:rPr>
      </w:pPr>
      <w:r w:rsidRPr="00500C8D">
        <w:rPr>
          <w:rFonts w:ascii="Tahoma" w:hAnsi="Tahoma" w:cs="Tahoma"/>
          <w:color w:val="000000" w:themeColor="text1"/>
          <w:sz w:val="20"/>
        </w:rPr>
        <w:t>Individual Investments: Issuer, CUSIP or identifier, purchase date, maturity date, purchase yield, par value, book value, market value, credit rating</w:t>
      </w:r>
    </w:p>
    <w:p w14:paraId="7C262A4C" w14:textId="77777777" w:rsidR="00BA0677" w:rsidRPr="00500C8D" w:rsidRDefault="00BA0677" w:rsidP="001F3656">
      <w:pPr>
        <w:pStyle w:val="NoSpacing"/>
        <w:numPr>
          <w:ilvl w:val="0"/>
          <w:numId w:val="13"/>
        </w:numPr>
        <w:jc w:val="both"/>
        <w:rPr>
          <w:rFonts w:ascii="Tahoma" w:hAnsi="Tahoma" w:cs="Tahoma"/>
          <w:color w:val="000000" w:themeColor="text1"/>
          <w:sz w:val="20"/>
        </w:rPr>
      </w:pPr>
      <w:r w:rsidRPr="00500C8D">
        <w:rPr>
          <w:rFonts w:ascii="Tahoma" w:hAnsi="Tahoma" w:cs="Tahoma"/>
          <w:color w:val="000000" w:themeColor="text1"/>
          <w:sz w:val="20"/>
        </w:rPr>
        <w:t>Compliance Matrix: Stating the compliance or non-compliance of investments or parameters</w:t>
      </w:r>
    </w:p>
    <w:p w14:paraId="5F319E64" w14:textId="77777777" w:rsidR="00BA0677" w:rsidRDefault="00BA0677" w:rsidP="001F3656">
      <w:pPr>
        <w:pStyle w:val="NoSpacing"/>
        <w:numPr>
          <w:ilvl w:val="0"/>
          <w:numId w:val="13"/>
        </w:numPr>
        <w:jc w:val="both"/>
        <w:rPr>
          <w:rFonts w:ascii="Tahoma" w:hAnsi="Tahoma" w:cs="Tahoma"/>
          <w:color w:val="000000" w:themeColor="text1"/>
          <w:sz w:val="20"/>
        </w:rPr>
      </w:pPr>
      <w:r w:rsidRPr="00500C8D">
        <w:rPr>
          <w:rFonts w:ascii="Tahoma" w:hAnsi="Tahoma" w:cs="Tahoma"/>
          <w:color w:val="000000" w:themeColor="text1"/>
          <w:sz w:val="20"/>
        </w:rPr>
        <w:t xml:space="preserve">Investment Income:  A listing of investment income for the reporting period </w:t>
      </w:r>
    </w:p>
    <w:p w14:paraId="0D965B0A" w14:textId="77777777" w:rsidR="007A7CBB" w:rsidRDefault="007A7CBB" w:rsidP="001F3656">
      <w:pPr>
        <w:pStyle w:val="NoSpacing"/>
        <w:numPr>
          <w:ilvl w:val="0"/>
          <w:numId w:val="13"/>
        </w:numPr>
        <w:jc w:val="both"/>
        <w:rPr>
          <w:rFonts w:ascii="Tahoma" w:hAnsi="Tahoma" w:cs="Tahoma"/>
          <w:color w:val="000000" w:themeColor="text1"/>
          <w:sz w:val="20"/>
        </w:rPr>
      </w:pPr>
      <w:r>
        <w:rPr>
          <w:rFonts w:ascii="Tahoma" w:hAnsi="Tahoma" w:cs="Tahoma"/>
          <w:color w:val="000000" w:themeColor="text1"/>
          <w:sz w:val="20"/>
        </w:rPr>
        <w:t>Performance Information: Yield comparisons, book return, total return, etc.</w:t>
      </w:r>
    </w:p>
    <w:p w14:paraId="5C2F5A02" w14:textId="77777777" w:rsidR="007A7CBB" w:rsidRPr="00500C8D" w:rsidRDefault="007A7CBB" w:rsidP="001F3656">
      <w:pPr>
        <w:pStyle w:val="NoSpacing"/>
        <w:numPr>
          <w:ilvl w:val="0"/>
          <w:numId w:val="13"/>
        </w:numPr>
        <w:jc w:val="both"/>
        <w:rPr>
          <w:rFonts w:ascii="Tahoma" w:hAnsi="Tahoma" w:cs="Tahoma"/>
          <w:color w:val="000000" w:themeColor="text1"/>
          <w:sz w:val="20"/>
        </w:rPr>
      </w:pPr>
      <w:r>
        <w:rPr>
          <w:rFonts w:ascii="Tahoma" w:hAnsi="Tahoma" w:cs="Tahoma"/>
          <w:color w:val="000000" w:themeColor="text1"/>
          <w:sz w:val="20"/>
        </w:rPr>
        <w:t>Transaction Information: A listing of the period’s transactions.</w:t>
      </w:r>
    </w:p>
    <w:p w14:paraId="1F9CF497" w14:textId="77777777" w:rsidR="00BA0677" w:rsidRPr="00500C8D" w:rsidRDefault="00BA0677" w:rsidP="00BA0677">
      <w:pPr>
        <w:pStyle w:val="NoSpacing"/>
        <w:ind w:left="0"/>
        <w:jc w:val="both"/>
        <w:rPr>
          <w:rFonts w:ascii="Tahoma" w:hAnsi="Tahoma" w:cs="Tahoma"/>
          <w:color w:val="000000" w:themeColor="text1"/>
          <w:sz w:val="20"/>
        </w:rPr>
      </w:pPr>
    </w:p>
    <w:p w14:paraId="636013FA"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w:t>
      </w:r>
      <w:r w:rsidR="00926BC2"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shall also maintain records, subject to audit, of all investment transactions including the names of all obligors, descriptions of all securities purchased and sold (including dates of issue, acquisition and maturity, coupon, price, yield, and gain or loss on ultimate disposition), name of the broker/dealer involved in each transaction, custodian of each security, and the sale or maturity of each security.</w:t>
      </w:r>
    </w:p>
    <w:p w14:paraId="77EB56D4" w14:textId="77777777" w:rsidR="00BA0677" w:rsidRPr="00500C8D" w:rsidRDefault="00BA0677" w:rsidP="00BA0677">
      <w:pPr>
        <w:pStyle w:val="NoSpacing"/>
        <w:ind w:left="0"/>
        <w:jc w:val="both"/>
        <w:rPr>
          <w:rFonts w:ascii="Tahoma" w:hAnsi="Tahoma" w:cs="Tahoma"/>
          <w:color w:val="000000" w:themeColor="text1"/>
          <w:sz w:val="20"/>
        </w:rPr>
      </w:pPr>
    </w:p>
    <w:p w14:paraId="1A6EEA45"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w:t>
      </w:r>
      <w:r w:rsidR="00926BC2" w:rsidRPr="00500C8D">
        <w:rPr>
          <w:rFonts w:ascii="Tahoma" w:hAnsi="Tahoma" w:cs="Tahoma"/>
          <w:color w:val="000000" w:themeColor="text1"/>
          <w:sz w:val="20"/>
        </w:rPr>
        <w:t>[entity]</w:t>
      </w:r>
      <w:r w:rsidRPr="00500C8D">
        <w:rPr>
          <w:rFonts w:ascii="Tahoma" w:hAnsi="Tahoma" w:cs="Tahoma"/>
          <w:color w:val="000000" w:themeColor="text1"/>
          <w:sz w:val="20"/>
        </w:rPr>
        <w:t xml:space="preserve"> will comply with any arbitrage reporting requirements as set forth in all applicable federal, state, and local laws. Additionally, the </w:t>
      </w:r>
      <w:r w:rsidR="00926BC2" w:rsidRPr="00500C8D">
        <w:rPr>
          <w:rFonts w:ascii="Tahoma" w:hAnsi="Tahoma" w:cs="Tahoma"/>
          <w:color w:val="000000" w:themeColor="text1"/>
          <w:sz w:val="20"/>
        </w:rPr>
        <w:t>[entity]</w:t>
      </w:r>
      <w:r w:rsidRPr="00500C8D">
        <w:rPr>
          <w:rFonts w:ascii="Tahoma" w:hAnsi="Tahoma" w:cs="Tahoma"/>
          <w:color w:val="000000" w:themeColor="text1"/>
          <w:sz w:val="20"/>
        </w:rPr>
        <w:t xml:space="preserve"> will comply with all Government Accounting Standards Board </w:t>
      </w:r>
      <w:r w:rsidR="00926BC2" w:rsidRPr="00500C8D">
        <w:rPr>
          <w:rFonts w:ascii="Tahoma" w:hAnsi="Tahoma" w:cs="Tahoma"/>
          <w:color w:val="000000" w:themeColor="text1"/>
          <w:sz w:val="20"/>
        </w:rPr>
        <w:t xml:space="preserve">(GASB) </w:t>
      </w:r>
      <w:r w:rsidRPr="00500C8D">
        <w:rPr>
          <w:rFonts w:ascii="Tahoma" w:hAnsi="Tahoma" w:cs="Tahoma"/>
          <w:color w:val="000000" w:themeColor="text1"/>
          <w:sz w:val="20"/>
        </w:rPr>
        <w:t>requirements</w:t>
      </w:r>
      <w:r w:rsidR="001276B4">
        <w:rPr>
          <w:rFonts w:ascii="Tahoma" w:hAnsi="Tahoma" w:cs="Tahoma"/>
          <w:color w:val="000000" w:themeColor="text1"/>
          <w:sz w:val="20"/>
        </w:rPr>
        <w:t xml:space="preserve"> and appropriate Generally Accepted Accounting Principles (GAAP)</w:t>
      </w:r>
      <w:r w:rsidRPr="00500C8D">
        <w:rPr>
          <w:rFonts w:ascii="Tahoma" w:hAnsi="Tahoma" w:cs="Tahoma"/>
          <w:color w:val="000000" w:themeColor="text1"/>
          <w:sz w:val="20"/>
        </w:rPr>
        <w:t>.</w:t>
      </w:r>
    </w:p>
    <w:p w14:paraId="2C1E183C" w14:textId="77777777" w:rsidR="007A7CBB" w:rsidRPr="00500C8D" w:rsidRDefault="007A7CBB" w:rsidP="00BA0677">
      <w:pPr>
        <w:pStyle w:val="NoSpacing"/>
        <w:ind w:left="0"/>
        <w:jc w:val="both"/>
        <w:rPr>
          <w:rFonts w:ascii="Tahoma" w:hAnsi="Tahoma" w:cs="Tahoma"/>
          <w:color w:val="000000" w:themeColor="text1"/>
          <w:sz w:val="20"/>
        </w:rPr>
      </w:pPr>
    </w:p>
    <w:p w14:paraId="19946DFF" w14:textId="77777777" w:rsidR="00BA0677" w:rsidRPr="00500C8D" w:rsidRDefault="00DA4DFA"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28</w:t>
      </w:r>
      <w:r w:rsidR="002C7AB0">
        <w:rPr>
          <w:rFonts w:ascii="Tahoma" w:hAnsi="Tahoma" w:cs="Tahoma"/>
          <w:b/>
          <w:bCs/>
          <w:color w:val="000000" w:themeColor="text1"/>
          <w:sz w:val="20"/>
        </w:rPr>
        <w:t xml:space="preserve">.  </w:t>
      </w:r>
      <w:r w:rsidR="00BA0677" w:rsidRPr="00500C8D">
        <w:rPr>
          <w:rFonts w:ascii="Tahoma" w:hAnsi="Tahoma" w:cs="Tahoma"/>
          <w:b/>
          <w:bCs/>
          <w:color w:val="000000" w:themeColor="text1"/>
          <w:sz w:val="20"/>
        </w:rPr>
        <w:t xml:space="preserve">Allocation of Investment Income </w:t>
      </w:r>
    </w:p>
    <w:p w14:paraId="6E4C8BF4"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w:t>
      </w:r>
      <w:r w:rsidR="00926BC2" w:rsidRPr="00500C8D">
        <w:rPr>
          <w:rFonts w:ascii="Tahoma" w:hAnsi="Tahoma" w:cs="Tahoma"/>
          <w:color w:val="000000" w:themeColor="text1"/>
          <w:sz w:val="20"/>
        </w:rPr>
        <w:t>[entity]</w:t>
      </w:r>
      <w:r w:rsidRPr="00500C8D">
        <w:rPr>
          <w:rFonts w:ascii="Tahoma" w:hAnsi="Tahoma" w:cs="Tahoma"/>
          <w:color w:val="000000" w:themeColor="text1"/>
          <w:sz w:val="20"/>
        </w:rPr>
        <w:t xml:space="preserve"> allocates inves</w:t>
      </w:r>
      <w:r w:rsidR="001D4BBF">
        <w:rPr>
          <w:rFonts w:ascii="Tahoma" w:hAnsi="Tahoma" w:cs="Tahoma"/>
          <w:color w:val="000000" w:themeColor="text1"/>
          <w:sz w:val="20"/>
        </w:rPr>
        <w:t>tment income based upon a portfolio’s</w:t>
      </w:r>
      <w:r w:rsidRPr="00500C8D">
        <w:rPr>
          <w:rFonts w:ascii="Tahoma" w:hAnsi="Tahoma" w:cs="Tahoma"/>
          <w:color w:val="000000" w:themeColor="text1"/>
          <w:sz w:val="20"/>
        </w:rPr>
        <w:t xml:space="preserve"> </w:t>
      </w:r>
      <w:r w:rsidR="001D4BBF">
        <w:rPr>
          <w:rFonts w:ascii="Tahoma" w:hAnsi="Tahoma" w:cs="Tahoma"/>
          <w:color w:val="000000" w:themeColor="text1"/>
          <w:sz w:val="20"/>
        </w:rPr>
        <w:t xml:space="preserve">average </w:t>
      </w:r>
      <w:r w:rsidRPr="00500C8D">
        <w:rPr>
          <w:rFonts w:ascii="Tahoma" w:hAnsi="Tahoma" w:cs="Tahoma"/>
          <w:color w:val="000000" w:themeColor="text1"/>
          <w:sz w:val="20"/>
        </w:rPr>
        <w:t>daily bal</w:t>
      </w:r>
      <w:r w:rsidR="001D4BBF">
        <w:rPr>
          <w:rFonts w:ascii="Tahoma" w:hAnsi="Tahoma" w:cs="Tahoma"/>
          <w:color w:val="000000" w:themeColor="text1"/>
          <w:sz w:val="20"/>
        </w:rPr>
        <w:t>ance and the investment income</w:t>
      </w:r>
      <w:r w:rsidRPr="00500C8D">
        <w:rPr>
          <w:rFonts w:ascii="Tahoma" w:hAnsi="Tahoma" w:cs="Tahoma"/>
          <w:color w:val="000000" w:themeColor="text1"/>
          <w:sz w:val="20"/>
        </w:rPr>
        <w:t xml:space="preserve"> is calculated on an accrual basis.  See Appendix A for additional details regarding the </w:t>
      </w:r>
      <w:r w:rsidR="001D4BBF">
        <w:rPr>
          <w:rFonts w:ascii="Tahoma" w:hAnsi="Tahoma" w:cs="Tahoma"/>
          <w:color w:val="000000" w:themeColor="text1"/>
          <w:sz w:val="20"/>
        </w:rPr>
        <w:t>investment portfolio</w:t>
      </w:r>
      <w:r w:rsidR="00926BC2" w:rsidRPr="00500C8D">
        <w:rPr>
          <w:rFonts w:ascii="Tahoma" w:hAnsi="Tahoma" w:cs="Tahoma"/>
          <w:color w:val="000000" w:themeColor="text1"/>
          <w:sz w:val="20"/>
        </w:rPr>
        <w:t xml:space="preserve"> operations</w:t>
      </w:r>
      <w:r w:rsidRPr="00500C8D">
        <w:rPr>
          <w:rFonts w:ascii="Tahoma" w:hAnsi="Tahoma" w:cs="Tahoma"/>
          <w:color w:val="000000" w:themeColor="text1"/>
          <w:sz w:val="20"/>
        </w:rPr>
        <w:t xml:space="preserve">. </w:t>
      </w:r>
    </w:p>
    <w:p w14:paraId="09A1F1F3" w14:textId="77777777" w:rsidR="00BA0677" w:rsidRPr="00500C8D" w:rsidRDefault="00BA0677" w:rsidP="00BA0677">
      <w:pPr>
        <w:pStyle w:val="NoSpacing"/>
        <w:ind w:left="0"/>
        <w:jc w:val="both"/>
        <w:rPr>
          <w:rFonts w:ascii="Tahoma" w:hAnsi="Tahoma" w:cs="Tahoma"/>
          <w:color w:val="000000" w:themeColor="text1"/>
          <w:sz w:val="20"/>
        </w:rPr>
      </w:pPr>
    </w:p>
    <w:p w14:paraId="24CBB6BE" w14:textId="77777777" w:rsidR="00BA0677" w:rsidRPr="00500C8D" w:rsidRDefault="00DA4DFA"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29</w:t>
      </w:r>
      <w:r w:rsidR="002C7AB0">
        <w:rPr>
          <w:rFonts w:ascii="Tahoma" w:hAnsi="Tahoma" w:cs="Tahoma"/>
          <w:b/>
          <w:bCs/>
          <w:color w:val="000000" w:themeColor="text1"/>
          <w:sz w:val="20"/>
        </w:rPr>
        <w:t xml:space="preserve">.  </w:t>
      </w:r>
      <w:r w:rsidR="00BA0677" w:rsidRPr="00500C8D">
        <w:rPr>
          <w:rFonts w:ascii="Tahoma" w:hAnsi="Tahoma" w:cs="Tahoma"/>
          <w:b/>
          <w:bCs/>
          <w:color w:val="000000" w:themeColor="text1"/>
          <w:sz w:val="20"/>
        </w:rPr>
        <w:t>Performance Information</w:t>
      </w:r>
    </w:p>
    <w:p w14:paraId="362E6B18"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investment portfolio shall be designed to earn a market rate of investment income in relation to prevailing budgetary and economic cycles, while taking into account investment risk constraints and liquidity needs of the </w:t>
      </w:r>
      <w:r w:rsidR="00926BC2" w:rsidRPr="00500C8D">
        <w:rPr>
          <w:rFonts w:ascii="Tahoma" w:hAnsi="Tahoma" w:cs="Tahoma"/>
          <w:color w:val="000000" w:themeColor="text1"/>
          <w:sz w:val="20"/>
        </w:rPr>
        <w:t>[entity]</w:t>
      </w:r>
      <w:r w:rsidRPr="00500C8D">
        <w:rPr>
          <w:rFonts w:ascii="Tahoma" w:hAnsi="Tahoma" w:cs="Tahoma"/>
          <w:color w:val="000000" w:themeColor="text1"/>
          <w:sz w:val="20"/>
        </w:rPr>
        <w:t>.  Given this strategy, the benchmark for investment consideration</w:t>
      </w:r>
      <w:r w:rsidR="007A7CBB">
        <w:rPr>
          <w:rFonts w:ascii="Tahoma" w:hAnsi="Tahoma" w:cs="Tahoma"/>
          <w:color w:val="000000" w:themeColor="text1"/>
          <w:sz w:val="20"/>
        </w:rPr>
        <w:t xml:space="preserve">s shall be a </w:t>
      </w:r>
      <w:r w:rsidRPr="00500C8D">
        <w:rPr>
          <w:rFonts w:ascii="Tahoma" w:hAnsi="Tahoma" w:cs="Tahoma"/>
          <w:color w:val="000000" w:themeColor="text1"/>
          <w:sz w:val="20"/>
        </w:rPr>
        <w:t>benchmark which reflects the prominent and persistent characteristics of the portfol</w:t>
      </w:r>
      <w:r w:rsidR="001D4BBF">
        <w:rPr>
          <w:rFonts w:ascii="Tahoma" w:hAnsi="Tahoma" w:cs="Tahoma"/>
          <w:color w:val="000000" w:themeColor="text1"/>
          <w:sz w:val="20"/>
        </w:rPr>
        <w:t>io overtime.  The benchmark may be adjusted periodically as</w:t>
      </w:r>
      <w:r w:rsidRPr="00500C8D">
        <w:rPr>
          <w:rFonts w:ascii="Tahoma" w:hAnsi="Tahoma" w:cs="Tahoma"/>
          <w:color w:val="000000" w:themeColor="text1"/>
          <w:sz w:val="20"/>
        </w:rPr>
        <w:t xml:space="preserve"> material changes take place in regard to asset allocation and/or weighted average maturity.</w:t>
      </w:r>
    </w:p>
    <w:p w14:paraId="2DCF49EB" w14:textId="77777777" w:rsidR="00BA0677" w:rsidRPr="00500C8D" w:rsidRDefault="00BA0677" w:rsidP="00BA0677">
      <w:pPr>
        <w:pStyle w:val="NoSpacing"/>
        <w:ind w:left="0"/>
        <w:jc w:val="both"/>
        <w:rPr>
          <w:rFonts w:ascii="Tahoma" w:hAnsi="Tahoma" w:cs="Tahoma"/>
          <w:color w:val="000000" w:themeColor="text1"/>
          <w:sz w:val="20"/>
        </w:rPr>
      </w:pPr>
    </w:p>
    <w:p w14:paraId="045379D1" w14:textId="77777777" w:rsidR="00BA0677" w:rsidRPr="00500C8D" w:rsidRDefault="00DA4DFA"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30</w:t>
      </w:r>
      <w:r w:rsidR="002C7AB0">
        <w:rPr>
          <w:rFonts w:ascii="Tahoma" w:hAnsi="Tahoma" w:cs="Tahoma"/>
          <w:b/>
          <w:bCs/>
          <w:color w:val="000000" w:themeColor="text1"/>
          <w:sz w:val="20"/>
        </w:rPr>
        <w:t xml:space="preserve">.  </w:t>
      </w:r>
      <w:r w:rsidR="00BA0677" w:rsidRPr="00500C8D">
        <w:rPr>
          <w:rFonts w:ascii="Tahoma" w:hAnsi="Tahoma" w:cs="Tahoma"/>
          <w:b/>
          <w:bCs/>
          <w:color w:val="000000" w:themeColor="text1"/>
          <w:sz w:val="20"/>
        </w:rPr>
        <w:t>Business Continuity</w:t>
      </w:r>
    </w:p>
    <w:p w14:paraId="1174F84F"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The</w:t>
      </w:r>
      <w:r w:rsidR="00926BC2" w:rsidRPr="00500C8D">
        <w:rPr>
          <w:rFonts w:ascii="Tahoma" w:hAnsi="Tahoma" w:cs="Tahoma"/>
          <w:color w:val="000000" w:themeColor="text1"/>
          <w:sz w:val="20"/>
        </w:rPr>
        <w:t xml:space="preserve"> [designated official]</w:t>
      </w:r>
      <w:r w:rsidRPr="00500C8D">
        <w:rPr>
          <w:rFonts w:ascii="Tahoma" w:hAnsi="Tahoma" w:cs="Tahoma"/>
          <w:color w:val="000000" w:themeColor="text1"/>
          <w:sz w:val="20"/>
        </w:rPr>
        <w:t xml:space="preserve"> has developed a Business Continuity Plan (Plan) describing the </w:t>
      </w:r>
      <w:r w:rsidR="00926BC2" w:rsidRPr="00500C8D">
        <w:rPr>
          <w:rFonts w:ascii="Tahoma" w:hAnsi="Tahoma" w:cs="Tahoma"/>
          <w:color w:val="000000" w:themeColor="text1"/>
          <w:sz w:val="20"/>
        </w:rPr>
        <w:t>[entity’s]</w:t>
      </w:r>
      <w:r w:rsidRPr="00500C8D">
        <w:rPr>
          <w:rFonts w:ascii="Tahoma" w:hAnsi="Tahoma" w:cs="Tahoma"/>
          <w:color w:val="000000" w:themeColor="text1"/>
          <w:sz w:val="20"/>
        </w:rPr>
        <w:t xml:space="preserve"> anticipated response to a range of events that could significantly disrupt its business. Because the timing and impact of disasters, emergencies and other events is unpredictable, flexibility is necessary when responding to actual disruptions as they occur. With that in mind, the goal of the Plan is to </w:t>
      </w:r>
      <w:r w:rsidR="001D4BBF">
        <w:rPr>
          <w:rFonts w:ascii="Tahoma" w:hAnsi="Tahoma" w:cs="Tahoma"/>
          <w:color w:val="000000" w:themeColor="text1"/>
          <w:sz w:val="20"/>
        </w:rPr>
        <w:t xml:space="preserve">prevent lapses in operations or </w:t>
      </w:r>
      <w:r w:rsidRPr="00500C8D">
        <w:rPr>
          <w:rFonts w:ascii="Tahoma" w:hAnsi="Tahoma" w:cs="Tahoma"/>
          <w:color w:val="000000" w:themeColor="text1"/>
          <w:sz w:val="20"/>
        </w:rPr>
        <w:t xml:space="preserve">resume operations as quickly and smoothly as possible. </w:t>
      </w:r>
    </w:p>
    <w:p w14:paraId="4F6696B6" w14:textId="77777777" w:rsidR="00BA0677" w:rsidRPr="00500C8D" w:rsidRDefault="00BA0677" w:rsidP="00BA0677">
      <w:pPr>
        <w:pStyle w:val="NoSpacing"/>
        <w:ind w:left="0"/>
        <w:jc w:val="both"/>
        <w:rPr>
          <w:rFonts w:ascii="Tahoma" w:hAnsi="Tahoma" w:cs="Tahoma"/>
          <w:color w:val="000000" w:themeColor="text1"/>
          <w:sz w:val="20"/>
        </w:rPr>
      </w:pPr>
    </w:p>
    <w:p w14:paraId="2DB09DCF"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Plan for responding to a significant business disruption addresses safeguarding of employees’ lives and </w:t>
      </w:r>
      <w:r w:rsidR="00926BC2" w:rsidRPr="00500C8D">
        <w:rPr>
          <w:rFonts w:ascii="Tahoma" w:hAnsi="Tahoma" w:cs="Tahoma"/>
          <w:color w:val="000000" w:themeColor="text1"/>
          <w:sz w:val="20"/>
        </w:rPr>
        <w:t>[entity’s]</w:t>
      </w:r>
      <w:r w:rsidRPr="00500C8D">
        <w:rPr>
          <w:rFonts w:ascii="Tahoma" w:hAnsi="Tahoma" w:cs="Tahoma"/>
          <w:color w:val="000000" w:themeColor="text1"/>
          <w:sz w:val="20"/>
        </w:rPr>
        <w:t xml:space="preserve"> property, making a financial and operational assessment, quickly recovering and resuming operations, protecting all of the </w:t>
      </w:r>
      <w:r w:rsidR="00926BC2" w:rsidRPr="00500C8D">
        <w:rPr>
          <w:rFonts w:ascii="Tahoma" w:hAnsi="Tahoma" w:cs="Tahoma"/>
          <w:color w:val="000000" w:themeColor="text1"/>
          <w:sz w:val="20"/>
        </w:rPr>
        <w:t>[entity’s]</w:t>
      </w:r>
      <w:r w:rsidRPr="00500C8D">
        <w:rPr>
          <w:rFonts w:ascii="Tahoma" w:hAnsi="Tahoma" w:cs="Tahoma"/>
          <w:color w:val="000000" w:themeColor="text1"/>
          <w:sz w:val="20"/>
        </w:rPr>
        <w:t xml:space="preserve"> books and records, and allowing the continued ability to manage the investment program and transact business.</w:t>
      </w:r>
    </w:p>
    <w:p w14:paraId="6BA2D1EF" w14:textId="77777777" w:rsidR="00BA0677" w:rsidRPr="00500C8D" w:rsidRDefault="00DA4DFA"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lastRenderedPageBreak/>
        <w:t>31</w:t>
      </w:r>
      <w:r w:rsidR="002C7AB0">
        <w:rPr>
          <w:rFonts w:ascii="Tahoma" w:hAnsi="Tahoma" w:cs="Tahoma"/>
          <w:b/>
          <w:bCs/>
          <w:color w:val="000000" w:themeColor="text1"/>
          <w:sz w:val="20"/>
        </w:rPr>
        <w:t xml:space="preserve">.  </w:t>
      </w:r>
      <w:r w:rsidR="00BA0677" w:rsidRPr="00500C8D">
        <w:rPr>
          <w:rFonts w:ascii="Tahoma" w:hAnsi="Tahoma" w:cs="Tahoma"/>
          <w:b/>
          <w:bCs/>
          <w:color w:val="000000" w:themeColor="text1"/>
          <w:sz w:val="20"/>
        </w:rPr>
        <w:t xml:space="preserve">Ongoing Training and Education  </w:t>
      </w:r>
    </w:p>
    <w:p w14:paraId="605C9F74" w14:textId="77777777" w:rsidR="001D4BBF" w:rsidRDefault="001D4BBF" w:rsidP="00BA0677">
      <w:pPr>
        <w:pStyle w:val="NoSpacing"/>
        <w:ind w:left="0"/>
        <w:jc w:val="both"/>
        <w:rPr>
          <w:rFonts w:ascii="Tahoma" w:hAnsi="Tahoma" w:cs="Tahoma"/>
          <w:color w:val="000000" w:themeColor="text1"/>
          <w:sz w:val="20"/>
        </w:rPr>
      </w:pPr>
      <w:r w:rsidRPr="001D4BBF">
        <w:rPr>
          <w:rFonts w:ascii="Tahoma" w:hAnsi="Tahoma" w:cs="Tahoma"/>
          <w:color w:val="000000" w:themeColor="text1"/>
          <w:sz w:val="20"/>
        </w:rPr>
        <w:t>The [entity] strives for professionalism and accountability in the investment of its funds. In order to assure the highest possible professional standards, the [entity] will provide opportunities and funding for the personnel involved in the investment function to complete continuing education programs or other training in cash and investment management sufficient to maintain their skills and remain up-to-date on best practices and new regulation</w:t>
      </w:r>
      <w:r>
        <w:rPr>
          <w:rFonts w:ascii="Tahoma" w:hAnsi="Tahoma" w:cs="Tahoma"/>
          <w:color w:val="000000" w:themeColor="text1"/>
          <w:sz w:val="20"/>
        </w:rPr>
        <w:t>s. (Note: the Policy may include a specific amount of hours per year.)</w:t>
      </w:r>
    </w:p>
    <w:p w14:paraId="5C5E190E" w14:textId="77777777" w:rsidR="00BA0677" w:rsidRPr="00500C8D" w:rsidRDefault="00BA0677" w:rsidP="00BA0677">
      <w:pPr>
        <w:pStyle w:val="NoSpacing"/>
        <w:ind w:left="0"/>
        <w:jc w:val="both"/>
        <w:rPr>
          <w:rFonts w:ascii="Tahoma" w:hAnsi="Tahoma" w:cs="Tahoma"/>
          <w:color w:val="000000" w:themeColor="text1"/>
          <w:sz w:val="20"/>
        </w:rPr>
      </w:pPr>
    </w:p>
    <w:p w14:paraId="20F407DA" w14:textId="77777777" w:rsidR="00BA0677" w:rsidRPr="00500C8D" w:rsidRDefault="00DA4DFA" w:rsidP="00BA0677">
      <w:pPr>
        <w:pStyle w:val="NoSpacing"/>
        <w:ind w:left="0"/>
        <w:jc w:val="both"/>
        <w:rPr>
          <w:rFonts w:ascii="Tahoma" w:hAnsi="Tahoma" w:cs="Tahoma"/>
          <w:b/>
          <w:bCs/>
          <w:color w:val="000000" w:themeColor="text1"/>
          <w:sz w:val="20"/>
        </w:rPr>
      </w:pPr>
      <w:r>
        <w:rPr>
          <w:rFonts w:ascii="Tahoma" w:hAnsi="Tahoma" w:cs="Tahoma"/>
          <w:b/>
          <w:bCs/>
          <w:color w:val="000000" w:themeColor="text1"/>
          <w:sz w:val="20"/>
        </w:rPr>
        <w:t>32</w:t>
      </w:r>
      <w:r w:rsidR="002C7AB0">
        <w:rPr>
          <w:rFonts w:ascii="Tahoma" w:hAnsi="Tahoma" w:cs="Tahoma"/>
          <w:b/>
          <w:bCs/>
          <w:color w:val="000000" w:themeColor="text1"/>
          <w:sz w:val="20"/>
        </w:rPr>
        <w:t xml:space="preserve">.  </w:t>
      </w:r>
      <w:r w:rsidR="00BA0677" w:rsidRPr="00500C8D">
        <w:rPr>
          <w:rFonts w:ascii="Tahoma" w:hAnsi="Tahoma" w:cs="Tahoma"/>
          <w:b/>
          <w:bCs/>
          <w:color w:val="000000" w:themeColor="text1"/>
          <w:sz w:val="20"/>
        </w:rPr>
        <w:t xml:space="preserve">Investment Policy Review, Revisions, and Adoption  </w:t>
      </w:r>
    </w:p>
    <w:p w14:paraId="4CDE00E6" w14:textId="77777777" w:rsidR="00BA0677" w:rsidRPr="00500C8D" w:rsidRDefault="00BA0677" w:rsidP="00BA0677">
      <w:pPr>
        <w:pStyle w:val="NoSpacing"/>
        <w:ind w:left="0"/>
        <w:jc w:val="both"/>
        <w:rPr>
          <w:rFonts w:ascii="Tahoma" w:hAnsi="Tahoma" w:cs="Tahoma"/>
          <w:color w:val="000000" w:themeColor="text1"/>
          <w:sz w:val="20"/>
        </w:rPr>
      </w:pPr>
      <w:r w:rsidRPr="00500C8D">
        <w:rPr>
          <w:rFonts w:ascii="Tahoma" w:hAnsi="Tahoma" w:cs="Tahoma"/>
          <w:color w:val="000000" w:themeColor="text1"/>
          <w:sz w:val="20"/>
        </w:rPr>
        <w:t xml:space="preserve">The Investment Policy shall be reviewed at least annually by the Investment Program Oversight Committee </w:t>
      </w:r>
      <w:r w:rsidR="001D4BBF">
        <w:rPr>
          <w:rFonts w:ascii="Tahoma" w:hAnsi="Tahoma" w:cs="Tahoma"/>
          <w:color w:val="000000" w:themeColor="text1"/>
          <w:sz w:val="20"/>
        </w:rPr>
        <w:t xml:space="preserve">[or other governing body] </w:t>
      </w:r>
      <w:r w:rsidRPr="00500C8D">
        <w:rPr>
          <w:rFonts w:ascii="Tahoma" w:hAnsi="Tahoma" w:cs="Tahoma"/>
          <w:color w:val="000000" w:themeColor="text1"/>
          <w:sz w:val="20"/>
        </w:rPr>
        <w:t xml:space="preserve">to ensure its consistency with the </w:t>
      </w:r>
      <w:r w:rsidR="00926BC2" w:rsidRPr="00500C8D">
        <w:rPr>
          <w:rFonts w:ascii="Tahoma" w:hAnsi="Tahoma" w:cs="Tahoma"/>
          <w:color w:val="000000" w:themeColor="text1"/>
          <w:sz w:val="20"/>
        </w:rPr>
        <w:t>[entity’s]</w:t>
      </w:r>
      <w:r w:rsidRPr="00500C8D">
        <w:rPr>
          <w:rFonts w:ascii="Tahoma" w:hAnsi="Tahoma" w:cs="Tahoma"/>
          <w:color w:val="000000" w:themeColor="text1"/>
          <w:sz w:val="20"/>
        </w:rPr>
        <w:t xml:space="preserve"> overall objectives and its compliance with applicable laws and best practices.  However, the </w:t>
      </w:r>
      <w:r w:rsidR="00926BC2" w:rsidRPr="00500C8D">
        <w:rPr>
          <w:rFonts w:ascii="Tahoma" w:hAnsi="Tahoma" w:cs="Tahoma"/>
          <w:color w:val="000000" w:themeColor="text1"/>
          <w:sz w:val="20"/>
        </w:rPr>
        <w:t>[designated official]</w:t>
      </w:r>
      <w:r w:rsidRPr="00500C8D">
        <w:rPr>
          <w:rFonts w:ascii="Tahoma" w:hAnsi="Tahoma" w:cs="Tahoma"/>
          <w:color w:val="000000" w:themeColor="text1"/>
          <w:sz w:val="20"/>
        </w:rPr>
        <w:t xml:space="preserve"> may at any time further restrict for investment the types of instruments, issuers, and maturities as may be appropriate from time to time.  If approved by the </w:t>
      </w:r>
      <w:r w:rsidR="00926BC2" w:rsidRPr="00500C8D">
        <w:rPr>
          <w:rFonts w:ascii="Tahoma" w:hAnsi="Tahoma" w:cs="Tahoma"/>
          <w:color w:val="000000" w:themeColor="text1"/>
          <w:sz w:val="20"/>
        </w:rPr>
        <w:t>[state legislature, etc.]</w:t>
      </w:r>
      <w:r w:rsidRPr="00500C8D">
        <w:rPr>
          <w:rFonts w:ascii="Tahoma" w:hAnsi="Tahoma" w:cs="Tahoma"/>
          <w:color w:val="000000" w:themeColor="text1"/>
          <w:sz w:val="20"/>
        </w:rPr>
        <w:t xml:space="preserve">, previously unauthorized investment vehicles and procedures may be utilized by the </w:t>
      </w:r>
      <w:r w:rsidR="00926BC2" w:rsidRPr="00500C8D">
        <w:rPr>
          <w:rFonts w:ascii="Tahoma" w:hAnsi="Tahoma" w:cs="Tahoma"/>
          <w:color w:val="000000" w:themeColor="text1"/>
          <w:sz w:val="20"/>
        </w:rPr>
        <w:t>[entity]</w:t>
      </w:r>
      <w:r w:rsidRPr="00500C8D">
        <w:rPr>
          <w:rFonts w:ascii="Tahoma" w:hAnsi="Tahoma" w:cs="Tahoma"/>
          <w:color w:val="000000" w:themeColor="text1"/>
          <w:sz w:val="20"/>
        </w:rPr>
        <w:t xml:space="preserve">.  The Investment Policy shall be submitted to </w:t>
      </w:r>
      <w:r w:rsidR="00A31144" w:rsidRPr="00500C8D">
        <w:rPr>
          <w:rFonts w:ascii="Tahoma" w:hAnsi="Tahoma" w:cs="Tahoma"/>
          <w:color w:val="000000" w:themeColor="text1"/>
          <w:sz w:val="20"/>
        </w:rPr>
        <w:t>[governing body]</w:t>
      </w:r>
      <w:r w:rsidRPr="00500C8D">
        <w:rPr>
          <w:rFonts w:ascii="Tahoma" w:hAnsi="Tahoma" w:cs="Tahoma"/>
          <w:color w:val="000000" w:themeColor="text1"/>
          <w:sz w:val="20"/>
        </w:rPr>
        <w:t xml:space="preserve"> for consideration and adoption at a public meeting.  </w:t>
      </w:r>
    </w:p>
    <w:p w14:paraId="7BD55510" w14:textId="77777777" w:rsidR="0022004C" w:rsidRDefault="0022004C" w:rsidP="00BA0677">
      <w:pPr>
        <w:pStyle w:val="NoSpacing"/>
        <w:ind w:left="0"/>
        <w:jc w:val="both"/>
        <w:rPr>
          <w:rFonts w:ascii="Tahoma" w:hAnsi="Tahoma" w:cs="Tahoma"/>
          <w:color w:val="000000" w:themeColor="text1"/>
          <w:sz w:val="20"/>
        </w:rPr>
      </w:pPr>
    </w:p>
    <w:p w14:paraId="422D3B07" w14:textId="77777777" w:rsidR="003C3E37" w:rsidRDefault="003C3E37" w:rsidP="00BA0677">
      <w:pPr>
        <w:pStyle w:val="NoSpacing"/>
        <w:ind w:left="0"/>
        <w:jc w:val="both"/>
        <w:rPr>
          <w:rFonts w:ascii="Tahoma" w:hAnsi="Tahoma" w:cs="Tahoma"/>
          <w:color w:val="000000" w:themeColor="text1"/>
          <w:sz w:val="20"/>
        </w:rPr>
      </w:pPr>
    </w:p>
    <w:p w14:paraId="5C3E4AE4" w14:textId="77777777" w:rsidR="003C3E37" w:rsidRPr="00500C8D" w:rsidRDefault="003C3E37" w:rsidP="00BA0677">
      <w:pPr>
        <w:pStyle w:val="NoSpacing"/>
        <w:ind w:left="0"/>
        <w:jc w:val="both"/>
        <w:rPr>
          <w:rFonts w:ascii="Tahoma" w:hAnsi="Tahoma" w:cs="Tahoma"/>
          <w:color w:val="000000" w:themeColor="text1"/>
          <w:sz w:val="20"/>
        </w:rPr>
      </w:pPr>
    </w:p>
    <w:p w14:paraId="5CCBF461" w14:textId="77777777" w:rsidR="0022004C" w:rsidRDefault="0022004C" w:rsidP="00BA0677">
      <w:pPr>
        <w:pStyle w:val="NoSpacing"/>
        <w:ind w:left="0"/>
        <w:jc w:val="both"/>
        <w:rPr>
          <w:rFonts w:ascii="Tahoma" w:hAnsi="Tahoma" w:cs="Tahoma"/>
          <w:color w:val="000000" w:themeColor="text1"/>
          <w:sz w:val="20"/>
        </w:rPr>
      </w:pPr>
    </w:p>
    <w:p w14:paraId="176B0821" w14:textId="77777777" w:rsidR="009D6D51" w:rsidRPr="009D6D51" w:rsidRDefault="009D6D51" w:rsidP="00BA0677">
      <w:pPr>
        <w:pStyle w:val="NoSpacing"/>
        <w:ind w:left="0"/>
        <w:jc w:val="both"/>
        <w:rPr>
          <w:rFonts w:ascii="Tahoma" w:hAnsi="Tahoma" w:cs="Tahoma"/>
          <w:b/>
          <w:color w:val="000000" w:themeColor="text1"/>
          <w:sz w:val="20"/>
        </w:rPr>
      </w:pPr>
      <w:r w:rsidRPr="009D6D51">
        <w:rPr>
          <w:rFonts w:ascii="Tahoma" w:hAnsi="Tahoma" w:cs="Tahoma"/>
          <w:b/>
          <w:color w:val="000000" w:themeColor="text1"/>
          <w:sz w:val="20"/>
        </w:rPr>
        <w:t>Below are other items to consider including in your entity’s Investment Policy:</w:t>
      </w:r>
    </w:p>
    <w:p w14:paraId="00239A22" w14:textId="77777777" w:rsidR="009D6D51" w:rsidRDefault="009D6D51" w:rsidP="002356D2">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Settlement date versus trade date for maturity limits</w:t>
      </w:r>
    </w:p>
    <w:p w14:paraId="70DCAA0B" w14:textId="77777777" w:rsidR="009D6D51" w:rsidRDefault="009D6D51" w:rsidP="002356D2">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Guidelines to sell a security that falls below allowable ratings criteria</w:t>
      </w:r>
    </w:p>
    <w:p w14:paraId="5C7461D4" w14:textId="77777777" w:rsidR="002356D2" w:rsidRDefault="002356D2" w:rsidP="002356D2">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Purchasing private placement securities</w:t>
      </w:r>
    </w:p>
    <w:p w14:paraId="77D9F793" w14:textId="77777777" w:rsidR="003B14CE" w:rsidRDefault="007A372D" w:rsidP="002356D2">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Investment pool/</w:t>
      </w:r>
      <w:r w:rsidR="003B14CE">
        <w:rPr>
          <w:rFonts w:ascii="Tahoma" w:hAnsi="Tahoma" w:cs="Tahoma"/>
          <w:bCs/>
          <w:color w:val="000000" w:themeColor="text1"/>
          <w:sz w:val="20"/>
        </w:rPr>
        <w:t>fund participation (from outside your entity)</w:t>
      </w:r>
    </w:p>
    <w:p w14:paraId="7FFBC260" w14:textId="77777777" w:rsidR="007A372D" w:rsidRDefault="007A372D" w:rsidP="002356D2">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Loans to pool/fund participants</w:t>
      </w:r>
    </w:p>
    <w:p w14:paraId="785CE65E" w14:textId="77777777" w:rsidR="007A372D" w:rsidRDefault="007A372D" w:rsidP="002356D2">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Pool/fund withdrawal policies</w:t>
      </w:r>
    </w:p>
    <w:p w14:paraId="1EFE89FA" w14:textId="77777777" w:rsidR="003641BB" w:rsidRDefault="007A372D" w:rsidP="003641BB">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Apportionment of administrative pool/fund expenses</w:t>
      </w:r>
      <w:r w:rsidR="003641BB" w:rsidRPr="003641BB">
        <w:rPr>
          <w:rFonts w:ascii="Tahoma" w:hAnsi="Tahoma" w:cs="Tahoma"/>
          <w:bCs/>
          <w:color w:val="000000" w:themeColor="text1"/>
          <w:sz w:val="20"/>
        </w:rPr>
        <w:t xml:space="preserve"> </w:t>
      </w:r>
    </w:p>
    <w:p w14:paraId="26000FF7" w14:textId="77777777" w:rsidR="00B156F4" w:rsidRDefault="00B156F4" w:rsidP="003641BB">
      <w:pPr>
        <w:pStyle w:val="NoSpacing"/>
        <w:numPr>
          <w:ilvl w:val="0"/>
          <w:numId w:val="16"/>
        </w:numPr>
        <w:jc w:val="both"/>
        <w:rPr>
          <w:rFonts w:ascii="Tahoma" w:hAnsi="Tahoma" w:cs="Tahoma"/>
          <w:bCs/>
          <w:color w:val="000000" w:themeColor="text1"/>
          <w:sz w:val="20"/>
        </w:rPr>
      </w:pPr>
      <w:r>
        <w:rPr>
          <w:rFonts w:ascii="Tahoma" w:hAnsi="Tahoma" w:cs="Tahoma"/>
          <w:bCs/>
          <w:color w:val="000000" w:themeColor="text1"/>
          <w:sz w:val="20"/>
        </w:rPr>
        <w:t>Security impairment evaluation process</w:t>
      </w:r>
    </w:p>
    <w:p w14:paraId="6B714FE5" w14:textId="77777777" w:rsidR="003641BB" w:rsidRDefault="003641BB" w:rsidP="003641BB">
      <w:pPr>
        <w:pStyle w:val="NoSpacing"/>
        <w:numPr>
          <w:ilvl w:val="0"/>
          <w:numId w:val="16"/>
        </w:numPr>
        <w:jc w:val="both"/>
        <w:rPr>
          <w:rFonts w:ascii="Tahoma" w:hAnsi="Tahoma" w:cs="Tahoma"/>
          <w:bCs/>
          <w:color w:val="000000" w:themeColor="text1"/>
          <w:sz w:val="20"/>
        </w:rPr>
      </w:pPr>
      <w:r w:rsidRPr="009D6D51">
        <w:rPr>
          <w:rFonts w:ascii="Tahoma" w:hAnsi="Tahoma" w:cs="Tahoma"/>
          <w:bCs/>
          <w:color w:val="000000" w:themeColor="text1"/>
          <w:sz w:val="20"/>
        </w:rPr>
        <w:t>Environmental, Social, and Corporate Governance Investing</w:t>
      </w:r>
    </w:p>
    <w:p w14:paraId="7512E3DF" w14:textId="77777777" w:rsidR="002356D2" w:rsidRDefault="002356D2" w:rsidP="00B445FD">
      <w:pPr>
        <w:pStyle w:val="NoSpacing"/>
        <w:ind w:left="0"/>
        <w:jc w:val="both"/>
        <w:rPr>
          <w:rFonts w:ascii="Tahoma" w:hAnsi="Tahoma" w:cs="Tahoma"/>
          <w:bCs/>
          <w:color w:val="000000" w:themeColor="text1"/>
          <w:sz w:val="20"/>
        </w:rPr>
      </w:pPr>
    </w:p>
    <w:p w14:paraId="70BCE090" w14:textId="77777777" w:rsidR="009D6D51" w:rsidRDefault="009D6D51" w:rsidP="00B445FD">
      <w:pPr>
        <w:pStyle w:val="NoSpacing"/>
        <w:ind w:left="0"/>
        <w:jc w:val="both"/>
        <w:rPr>
          <w:rFonts w:ascii="Tahoma" w:hAnsi="Tahoma" w:cs="Tahoma"/>
          <w:b/>
          <w:bCs/>
          <w:color w:val="000000" w:themeColor="text1"/>
          <w:sz w:val="20"/>
        </w:rPr>
      </w:pPr>
    </w:p>
    <w:p w14:paraId="18FFEC93" w14:textId="77777777" w:rsidR="003641BB" w:rsidRDefault="003641BB">
      <w:pPr>
        <w:rPr>
          <w:rFonts w:ascii="Tahoma" w:hAnsi="Tahoma" w:cs="Tahoma"/>
          <w:b/>
          <w:bCs/>
          <w:color w:val="000000" w:themeColor="text1"/>
          <w:kern w:val="20"/>
          <w:sz w:val="20"/>
          <w:szCs w:val="20"/>
          <w:lang w:eastAsia="ja-JP"/>
        </w:rPr>
      </w:pPr>
      <w:r>
        <w:rPr>
          <w:rFonts w:ascii="Tahoma" w:hAnsi="Tahoma" w:cs="Tahoma"/>
          <w:b/>
          <w:bCs/>
          <w:color w:val="000000" w:themeColor="text1"/>
          <w:sz w:val="20"/>
        </w:rPr>
        <w:br w:type="page"/>
      </w:r>
    </w:p>
    <w:p w14:paraId="2D238B69" w14:textId="77777777" w:rsidR="003641BB" w:rsidRPr="003641BB" w:rsidRDefault="003641BB" w:rsidP="003641BB">
      <w:pPr>
        <w:jc w:val="center"/>
        <w:rPr>
          <w:b/>
          <w:color w:val="000000" w:themeColor="text1"/>
          <w:sz w:val="28"/>
          <w:szCs w:val="24"/>
        </w:rPr>
      </w:pPr>
      <w:r>
        <w:rPr>
          <w:b/>
          <w:sz w:val="28"/>
          <w:szCs w:val="24"/>
        </w:rPr>
        <w:lastRenderedPageBreak/>
        <w:t xml:space="preserve">SAMPLE </w:t>
      </w:r>
      <w:r w:rsidRPr="00941376">
        <w:rPr>
          <w:b/>
          <w:sz w:val="28"/>
          <w:szCs w:val="24"/>
        </w:rPr>
        <w:t>SUMMARY OF A</w:t>
      </w:r>
      <w:r>
        <w:rPr>
          <w:b/>
          <w:sz w:val="28"/>
          <w:szCs w:val="24"/>
        </w:rPr>
        <w:t>UTHORIZED</w:t>
      </w:r>
      <w:r w:rsidRPr="00941376">
        <w:rPr>
          <w:b/>
          <w:sz w:val="28"/>
          <w:szCs w:val="24"/>
        </w:rPr>
        <w:t xml:space="preserve"> </w:t>
      </w:r>
      <w:r w:rsidRPr="003641BB">
        <w:rPr>
          <w:b/>
          <w:color w:val="000000" w:themeColor="text1"/>
          <w:sz w:val="28"/>
          <w:szCs w:val="24"/>
        </w:rPr>
        <w:t>INVESTMENTS</w:t>
      </w:r>
    </w:p>
    <w:tbl>
      <w:tblPr>
        <w:tblStyle w:val="TableGrid"/>
        <w:tblW w:w="10260" w:type="dxa"/>
        <w:tblInd w:w="-455" w:type="dxa"/>
        <w:tblLook w:val="04A0" w:firstRow="1" w:lastRow="0" w:firstColumn="1" w:lastColumn="0" w:noHBand="0" w:noVBand="1"/>
      </w:tblPr>
      <w:tblGrid>
        <w:gridCol w:w="1945"/>
        <w:gridCol w:w="1219"/>
        <w:gridCol w:w="1901"/>
        <w:gridCol w:w="1156"/>
        <w:gridCol w:w="1574"/>
        <w:gridCol w:w="2465"/>
      </w:tblGrid>
      <w:tr w:rsidR="003641BB" w14:paraId="6799A4BC" w14:textId="77777777" w:rsidTr="00231EDC">
        <w:tc>
          <w:tcPr>
            <w:tcW w:w="1945" w:type="dxa"/>
            <w:shd w:val="clear" w:color="auto" w:fill="000000" w:themeFill="text1"/>
            <w:vAlign w:val="bottom"/>
          </w:tcPr>
          <w:p w14:paraId="47A803FA" w14:textId="77777777" w:rsidR="003641BB" w:rsidRDefault="003641BB" w:rsidP="00231EDC">
            <w:pPr>
              <w:jc w:val="center"/>
              <w:rPr>
                <w:rFonts w:asciiTheme="minorHAnsi" w:hAnsiTheme="minorHAnsi"/>
                <w:b/>
                <w:szCs w:val="24"/>
              </w:rPr>
            </w:pPr>
          </w:p>
          <w:p w14:paraId="13AD5694" w14:textId="77777777" w:rsidR="003641BB" w:rsidRPr="00941376" w:rsidRDefault="003641BB" w:rsidP="00231EDC">
            <w:pPr>
              <w:jc w:val="center"/>
              <w:rPr>
                <w:rFonts w:asciiTheme="minorHAnsi" w:hAnsiTheme="minorHAnsi"/>
                <w:b/>
                <w:szCs w:val="24"/>
              </w:rPr>
            </w:pPr>
            <w:r w:rsidRPr="00941376">
              <w:rPr>
                <w:rFonts w:asciiTheme="minorHAnsi" w:hAnsiTheme="minorHAnsi"/>
                <w:b/>
                <w:szCs w:val="24"/>
              </w:rPr>
              <w:t>AUTHORIZED INVESTMENTS</w:t>
            </w:r>
          </w:p>
        </w:tc>
        <w:tc>
          <w:tcPr>
            <w:tcW w:w="1219" w:type="dxa"/>
            <w:shd w:val="clear" w:color="auto" w:fill="000000" w:themeFill="text1"/>
            <w:vAlign w:val="bottom"/>
          </w:tcPr>
          <w:p w14:paraId="7BDF2D8D" w14:textId="77777777" w:rsidR="003641BB" w:rsidRPr="00941376" w:rsidRDefault="003641BB" w:rsidP="00231EDC">
            <w:pPr>
              <w:jc w:val="center"/>
              <w:rPr>
                <w:rFonts w:asciiTheme="minorHAnsi" w:hAnsiTheme="minorHAnsi"/>
                <w:b/>
                <w:szCs w:val="24"/>
              </w:rPr>
            </w:pPr>
            <w:r w:rsidRPr="00941376">
              <w:rPr>
                <w:rFonts w:asciiTheme="minorHAnsi" w:hAnsiTheme="minorHAnsi"/>
                <w:b/>
                <w:szCs w:val="24"/>
              </w:rPr>
              <w:t>MAXIMUM % HOLDINGS</w:t>
            </w:r>
          </w:p>
        </w:tc>
        <w:tc>
          <w:tcPr>
            <w:tcW w:w="1901" w:type="dxa"/>
            <w:shd w:val="clear" w:color="auto" w:fill="000000" w:themeFill="text1"/>
            <w:vAlign w:val="bottom"/>
          </w:tcPr>
          <w:p w14:paraId="3BE3667F" w14:textId="77777777" w:rsidR="003641BB" w:rsidRPr="00941376" w:rsidRDefault="003641BB" w:rsidP="00231EDC">
            <w:pPr>
              <w:jc w:val="center"/>
              <w:rPr>
                <w:rFonts w:asciiTheme="minorHAnsi" w:hAnsiTheme="minorHAnsi"/>
                <w:b/>
                <w:szCs w:val="24"/>
              </w:rPr>
            </w:pPr>
            <w:r w:rsidRPr="00941376">
              <w:rPr>
                <w:rFonts w:asciiTheme="minorHAnsi" w:hAnsiTheme="minorHAnsi"/>
                <w:b/>
                <w:szCs w:val="24"/>
              </w:rPr>
              <w:t>PURCHASE RESTRICTIONS</w:t>
            </w:r>
          </w:p>
        </w:tc>
        <w:tc>
          <w:tcPr>
            <w:tcW w:w="1156" w:type="dxa"/>
            <w:shd w:val="clear" w:color="auto" w:fill="000000" w:themeFill="text1"/>
            <w:vAlign w:val="bottom"/>
          </w:tcPr>
          <w:p w14:paraId="1DDFDBBF" w14:textId="77777777" w:rsidR="003641BB" w:rsidRPr="00941376" w:rsidRDefault="003641BB" w:rsidP="00231EDC">
            <w:pPr>
              <w:jc w:val="center"/>
              <w:rPr>
                <w:rFonts w:asciiTheme="minorHAnsi" w:hAnsiTheme="minorHAnsi"/>
                <w:b/>
                <w:szCs w:val="24"/>
              </w:rPr>
            </w:pPr>
            <w:r w:rsidRPr="00941376">
              <w:rPr>
                <w:rFonts w:asciiTheme="minorHAnsi" w:hAnsiTheme="minorHAnsi"/>
                <w:b/>
                <w:szCs w:val="24"/>
              </w:rPr>
              <w:t>MAXIMUM MATURITY</w:t>
            </w:r>
          </w:p>
        </w:tc>
        <w:tc>
          <w:tcPr>
            <w:tcW w:w="1574" w:type="dxa"/>
            <w:shd w:val="clear" w:color="auto" w:fill="000000" w:themeFill="text1"/>
            <w:vAlign w:val="bottom"/>
          </w:tcPr>
          <w:p w14:paraId="2FFDFE69" w14:textId="77777777" w:rsidR="003641BB" w:rsidRPr="00941376" w:rsidRDefault="003641BB" w:rsidP="00231EDC">
            <w:pPr>
              <w:jc w:val="center"/>
              <w:rPr>
                <w:rFonts w:asciiTheme="minorHAnsi" w:hAnsiTheme="minorHAnsi"/>
                <w:b/>
                <w:szCs w:val="24"/>
              </w:rPr>
            </w:pPr>
            <w:r w:rsidRPr="00941376">
              <w:rPr>
                <w:rFonts w:asciiTheme="minorHAnsi" w:hAnsiTheme="minorHAnsi"/>
                <w:b/>
                <w:szCs w:val="24"/>
              </w:rPr>
              <w:t>CREDIT QUALITY</w:t>
            </w:r>
          </w:p>
        </w:tc>
        <w:tc>
          <w:tcPr>
            <w:tcW w:w="2465" w:type="dxa"/>
            <w:shd w:val="clear" w:color="auto" w:fill="000000" w:themeFill="text1"/>
            <w:vAlign w:val="bottom"/>
          </w:tcPr>
          <w:p w14:paraId="3E15DBAF" w14:textId="77777777" w:rsidR="003641BB" w:rsidRPr="00941376" w:rsidRDefault="003641BB" w:rsidP="00231EDC">
            <w:pPr>
              <w:jc w:val="center"/>
              <w:rPr>
                <w:rFonts w:asciiTheme="minorHAnsi" w:hAnsiTheme="minorHAnsi"/>
                <w:b/>
                <w:szCs w:val="24"/>
              </w:rPr>
            </w:pPr>
            <w:r>
              <w:rPr>
                <w:rFonts w:asciiTheme="minorHAnsi" w:hAnsiTheme="minorHAnsi"/>
                <w:b/>
                <w:szCs w:val="24"/>
              </w:rPr>
              <w:t>State Law Requirements</w:t>
            </w:r>
          </w:p>
        </w:tc>
      </w:tr>
      <w:tr w:rsidR="003641BB" w14:paraId="088F26B9" w14:textId="77777777" w:rsidTr="00231EDC">
        <w:trPr>
          <w:trHeight w:val="323"/>
        </w:trPr>
        <w:tc>
          <w:tcPr>
            <w:tcW w:w="1945" w:type="dxa"/>
            <w:vAlign w:val="center"/>
          </w:tcPr>
          <w:p w14:paraId="0C51AA2D" w14:textId="77777777" w:rsidR="003641BB" w:rsidRDefault="003641BB" w:rsidP="00231EDC">
            <w:pPr>
              <w:jc w:val="center"/>
              <w:rPr>
                <w:rFonts w:asciiTheme="minorHAnsi" w:hAnsiTheme="minorHAnsi"/>
                <w:szCs w:val="24"/>
              </w:rPr>
            </w:pPr>
            <w:r>
              <w:rPr>
                <w:rFonts w:asciiTheme="minorHAnsi" w:hAnsiTheme="minorHAnsi"/>
                <w:szCs w:val="24"/>
              </w:rPr>
              <w:t>US Treasury Obligations</w:t>
            </w:r>
          </w:p>
        </w:tc>
        <w:tc>
          <w:tcPr>
            <w:tcW w:w="1219" w:type="dxa"/>
            <w:vAlign w:val="center"/>
          </w:tcPr>
          <w:p w14:paraId="33FA26B6" w14:textId="77777777" w:rsidR="003641BB" w:rsidRDefault="003641BB" w:rsidP="00231EDC">
            <w:pPr>
              <w:jc w:val="center"/>
              <w:rPr>
                <w:rFonts w:asciiTheme="minorHAnsi" w:hAnsiTheme="minorHAnsi"/>
                <w:szCs w:val="24"/>
              </w:rPr>
            </w:pPr>
            <w:r>
              <w:rPr>
                <w:rFonts w:asciiTheme="minorHAnsi" w:hAnsiTheme="minorHAnsi"/>
                <w:szCs w:val="24"/>
              </w:rPr>
              <w:t>100%</w:t>
            </w:r>
          </w:p>
        </w:tc>
        <w:tc>
          <w:tcPr>
            <w:tcW w:w="1901" w:type="dxa"/>
            <w:vAlign w:val="center"/>
          </w:tcPr>
          <w:p w14:paraId="1EABEDF5"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1156" w:type="dxa"/>
            <w:vAlign w:val="center"/>
          </w:tcPr>
          <w:p w14:paraId="44D4A1AD" w14:textId="77777777" w:rsidR="003641BB" w:rsidRDefault="003641BB" w:rsidP="00231EDC">
            <w:pPr>
              <w:jc w:val="center"/>
              <w:rPr>
                <w:rFonts w:asciiTheme="minorHAnsi" w:hAnsiTheme="minorHAnsi"/>
                <w:szCs w:val="24"/>
              </w:rPr>
            </w:pPr>
            <w:r>
              <w:rPr>
                <w:rFonts w:asciiTheme="minorHAnsi" w:hAnsiTheme="minorHAnsi"/>
                <w:szCs w:val="24"/>
              </w:rPr>
              <w:t>10 years</w:t>
            </w:r>
          </w:p>
        </w:tc>
        <w:tc>
          <w:tcPr>
            <w:tcW w:w="1574" w:type="dxa"/>
            <w:vAlign w:val="center"/>
          </w:tcPr>
          <w:p w14:paraId="2C4B433D"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2465" w:type="dxa"/>
            <w:vAlign w:val="center"/>
          </w:tcPr>
          <w:p w14:paraId="5E5F4962" w14:textId="77777777" w:rsidR="003641BB" w:rsidRDefault="003641BB" w:rsidP="00231EDC">
            <w:pPr>
              <w:jc w:val="center"/>
              <w:rPr>
                <w:rFonts w:asciiTheme="minorHAnsi" w:hAnsiTheme="minorHAnsi"/>
                <w:szCs w:val="24"/>
              </w:rPr>
            </w:pPr>
            <w:r>
              <w:rPr>
                <w:rFonts w:asciiTheme="minorHAnsi" w:hAnsiTheme="minorHAnsi"/>
                <w:szCs w:val="24"/>
              </w:rPr>
              <w:t>No type limit, no issuer limit, max maturity 10 yrs, no rating criteria</w:t>
            </w:r>
          </w:p>
        </w:tc>
      </w:tr>
      <w:tr w:rsidR="003641BB" w14:paraId="0B18EE22" w14:textId="77777777" w:rsidTr="00231EDC">
        <w:trPr>
          <w:trHeight w:val="359"/>
        </w:trPr>
        <w:tc>
          <w:tcPr>
            <w:tcW w:w="1945" w:type="dxa"/>
            <w:vAlign w:val="center"/>
          </w:tcPr>
          <w:p w14:paraId="76CD2CD1" w14:textId="77777777" w:rsidR="003641BB" w:rsidRDefault="00225A8F" w:rsidP="00231EDC">
            <w:pPr>
              <w:jc w:val="center"/>
              <w:rPr>
                <w:rFonts w:asciiTheme="minorHAnsi" w:hAnsiTheme="minorHAnsi"/>
                <w:szCs w:val="24"/>
              </w:rPr>
            </w:pPr>
            <w:r>
              <w:rPr>
                <w:rFonts w:asciiTheme="minorHAnsi" w:hAnsiTheme="minorHAnsi"/>
                <w:szCs w:val="24"/>
              </w:rPr>
              <w:t>U.S. GSEs</w:t>
            </w:r>
          </w:p>
        </w:tc>
        <w:tc>
          <w:tcPr>
            <w:tcW w:w="1219" w:type="dxa"/>
            <w:vAlign w:val="center"/>
          </w:tcPr>
          <w:p w14:paraId="383D552C" w14:textId="77777777" w:rsidR="003641BB" w:rsidRDefault="003641BB" w:rsidP="00231EDC">
            <w:pPr>
              <w:jc w:val="center"/>
              <w:rPr>
                <w:rFonts w:asciiTheme="minorHAnsi" w:hAnsiTheme="minorHAnsi"/>
                <w:szCs w:val="24"/>
              </w:rPr>
            </w:pPr>
            <w:r>
              <w:rPr>
                <w:rFonts w:asciiTheme="minorHAnsi" w:hAnsiTheme="minorHAnsi"/>
                <w:szCs w:val="24"/>
              </w:rPr>
              <w:t>100%</w:t>
            </w:r>
          </w:p>
        </w:tc>
        <w:tc>
          <w:tcPr>
            <w:tcW w:w="1901" w:type="dxa"/>
            <w:vAlign w:val="center"/>
          </w:tcPr>
          <w:p w14:paraId="23F94D95"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1156" w:type="dxa"/>
            <w:vAlign w:val="center"/>
          </w:tcPr>
          <w:p w14:paraId="2E220361" w14:textId="77777777" w:rsidR="003641BB" w:rsidRDefault="003641BB" w:rsidP="00231EDC">
            <w:pPr>
              <w:jc w:val="center"/>
              <w:rPr>
                <w:rFonts w:asciiTheme="minorHAnsi" w:hAnsiTheme="minorHAnsi"/>
                <w:szCs w:val="24"/>
              </w:rPr>
            </w:pPr>
            <w:r>
              <w:rPr>
                <w:rFonts w:asciiTheme="minorHAnsi" w:hAnsiTheme="minorHAnsi"/>
                <w:szCs w:val="24"/>
              </w:rPr>
              <w:t>10 years</w:t>
            </w:r>
          </w:p>
        </w:tc>
        <w:tc>
          <w:tcPr>
            <w:tcW w:w="1574" w:type="dxa"/>
            <w:vAlign w:val="center"/>
          </w:tcPr>
          <w:p w14:paraId="69E86731"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2465" w:type="dxa"/>
            <w:vAlign w:val="center"/>
          </w:tcPr>
          <w:p w14:paraId="13CBC388" w14:textId="77777777" w:rsidR="003641BB" w:rsidRDefault="003641BB" w:rsidP="00231EDC">
            <w:pPr>
              <w:jc w:val="center"/>
              <w:rPr>
                <w:rFonts w:asciiTheme="minorHAnsi" w:hAnsiTheme="minorHAnsi"/>
                <w:szCs w:val="24"/>
              </w:rPr>
            </w:pPr>
            <w:r w:rsidRPr="00220D73">
              <w:rPr>
                <w:rFonts w:asciiTheme="minorHAnsi" w:hAnsiTheme="minorHAnsi"/>
                <w:szCs w:val="24"/>
              </w:rPr>
              <w:t>No type limit, no issuer limit, max maturity 10 yrs, no rating criteria</w:t>
            </w:r>
          </w:p>
        </w:tc>
      </w:tr>
      <w:tr w:rsidR="003641BB" w14:paraId="50E2F287" w14:textId="77777777" w:rsidTr="00231EDC">
        <w:tc>
          <w:tcPr>
            <w:tcW w:w="1945" w:type="dxa"/>
            <w:vAlign w:val="center"/>
          </w:tcPr>
          <w:p w14:paraId="56744AE5" w14:textId="77777777" w:rsidR="003641BB" w:rsidRDefault="003641BB" w:rsidP="00231EDC">
            <w:pPr>
              <w:jc w:val="center"/>
              <w:rPr>
                <w:rFonts w:asciiTheme="minorHAnsi" w:hAnsiTheme="minorHAnsi"/>
                <w:szCs w:val="24"/>
              </w:rPr>
            </w:pPr>
            <w:r>
              <w:rPr>
                <w:rFonts w:asciiTheme="minorHAnsi" w:hAnsiTheme="minorHAnsi"/>
                <w:szCs w:val="24"/>
              </w:rPr>
              <w:t>Money-Market Mutual Funds</w:t>
            </w:r>
          </w:p>
        </w:tc>
        <w:tc>
          <w:tcPr>
            <w:tcW w:w="1219" w:type="dxa"/>
            <w:vAlign w:val="center"/>
          </w:tcPr>
          <w:p w14:paraId="466A040A" w14:textId="77777777" w:rsidR="003641BB" w:rsidRDefault="003641BB" w:rsidP="00231EDC">
            <w:pPr>
              <w:jc w:val="center"/>
              <w:rPr>
                <w:rFonts w:asciiTheme="minorHAnsi" w:hAnsiTheme="minorHAnsi"/>
                <w:szCs w:val="24"/>
              </w:rPr>
            </w:pPr>
            <w:r>
              <w:rPr>
                <w:rFonts w:asciiTheme="minorHAnsi" w:hAnsiTheme="minorHAnsi"/>
                <w:szCs w:val="24"/>
              </w:rPr>
              <w:t>100%</w:t>
            </w:r>
          </w:p>
        </w:tc>
        <w:tc>
          <w:tcPr>
            <w:tcW w:w="1901" w:type="dxa"/>
            <w:vAlign w:val="center"/>
          </w:tcPr>
          <w:p w14:paraId="6C29CD18" w14:textId="77777777" w:rsidR="003641BB" w:rsidRDefault="003641BB" w:rsidP="00231EDC">
            <w:pPr>
              <w:jc w:val="center"/>
              <w:rPr>
                <w:rFonts w:asciiTheme="minorHAnsi" w:hAnsiTheme="minorHAnsi"/>
                <w:szCs w:val="24"/>
              </w:rPr>
            </w:pPr>
            <w:r>
              <w:rPr>
                <w:rFonts w:asciiTheme="minorHAnsi" w:hAnsiTheme="minorHAnsi"/>
                <w:szCs w:val="24"/>
              </w:rPr>
              <w:t>Max 100% issuer, government only, must maintain constant NAV</w:t>
            </w:r>
          </w:p>
        </w:tc>
        <w:tc>
          <w:tcPr>
            <w:tcW w:w="1156" w:type="dxa"/>
            <w:vAlign w:val="center"/>
          </w:tcPr>
          <w:p w14:paraId="1AAE0D47" w14:textId="77777777" w:rsidR="003641BB" w:rsidRDefault="003641BB" w:rsidP="00231EDC">
            <w:pPr>
              <w:jc w:val="center"/>
              <w:rPr>
                <w:rFonts w:asciiTheme="minorHAnsi" w:hAnsiTheme="minorHAnsi"/>
                <w:szCs w:val="24"/>
              </w:rPr>
            </w:pPr>
            <w:r>
              <w:rPr>
                <w:rFonts w:asciiTheme="minorHAnsi" w:hAnsiTheme="minorHAnsi"/>
                <w:szCs w:val="24"/>
              </w:rPr>
              <w:t>Daily</w:t>
            </w:r>
          </w:p>
        </w:tc>
        <w:tc>
          <w:tcPr>
            <w:tcW w:w="1574" w:type="dxa"/>
            <w:vAlign w:val="center"/>
          </w:tcPr>
          <w:p w14:paraId="22402480" w14:textId="77777777" w:rsidR="003641BB" w:rsidRDefault="003641BB" w:rsidP="00231EDC">
            <w:pPr>
              <w:jc w:val="center"/>
              <w:rPr>
                <w:rFonts w:asciiTheme="minorHAnsi" w:hAnsiTheme="minorHAnsi"/>
                <w:szCs w:val="24"/>
              </w:rPr>
            </w:pPr>
            <w:r>
              <w:rPr>
                <w:rFonts w:asciiTheme="minorHAnsi" w:hAnsiTheme="minorHAnsi"/>
                <w:szCs w:val="24"/>
              </w:rPr>
              <w:t>AAA rated from a NRSRO</w:t>
            </w:r>
          </w:p>
        </w:tc>
        <w:tc>
          <w:tcPr>
            <w:tcW w:w="2465" w:type="dxa"/>
            <w:vAlign w:val="center"/>
          </w:tcPr>
          <w:p w14:paraId="11C515D3" w14:textId="77777777" w:rsidR="003641BB" w:rsidRDefault="003641BB" w:rsidP="00231EDC">
            <w:pPr>
              <w:jc w:val="center"/>
              <w:rPr>
                <w:rFonts w:asciiTheme="minorHAnsi" w:hAnsiTheme="minorHAnsi"/>
                <w:szCs w:val="24"/>
              </w:rPr>
            </w:pPr>
            <w:r>
              <w:rPr>
                <w:rFonts w:asciiTheme="minorHAnsi" w:hAnsiTheme="minorHAnsi"/>
                <w:szCs w:val="24"/>
              </w:rPr>
              <w:t>No type limit, no issuer limit, govt only, AAA rated from a NRSRO</w:t>
            </w:r>
          </w:p>
        </w:tc>
      </w:tr>
      <w:tr w:rsidR="003641BB" w14:paraId="0697E6BB" w14:textId="77777777" w:rsidTr="00231EDC">
        <w:tc>
          <w:tcPr>
            <w:tcW w:w="1945" w:type="dxa"/>
            <w:vAlign w:val="center"/>
          </w:tcPr>
          <w:p w14:paraId="2D7F0BB2" w14:textId="77777777" w:rsidR="003641BB" w:rsidRDefault="003641BB" w:rsidP="00231EDC">
            <w:pPr>
              <w:jc w:val="center"/>
              <w:rPr>
                <w:rFonts w:asciiTheme="minorHAnsi" w:hAnsiTheme="minorHAnsi"/>
                <w:szCs w:val="24"/>
              </w:rPr>
            </w:pPr>
            <w:r>
              <w:rPr>
                <w:rFonts w:asciiTheme="minorHAnsi" w:hAnsiTheme="minorHAnsi"/>
                <w:szCs w:val="24"/>
              </w:rPr>
              <w:t>Commercial Paper</w:t>
            </w:r>
          </w:p>
        </w:tc>
        <w:tc>
          <w:tcPr>
            <w:tcW w:w="1219" w:type="dxa"/>
            <w:vAlign w:val="center"/>
          </w:tcPr>
          <w:p w14:paraId="7DF07FA8" w14:textId="77777777" w:rsidR="003641BB" w:rsidRDefault="003641BB" w:rsidP="00231EDC">
            <w:pPr>
              <w:jc w:val="center"/>
              <w:rPr>
                <w:rFonts w:asciiTheme="minorHAnsi" w:hAnsiTheme="minorHAnsi"/>
                <w:szCs w:val="24"/>
              </w:rPr>
            </w:pPr>
            <w:r>
              <w:rPr>
                <w:rFonts w:asciiTheme="minorHAnsi" w:hAnsiTheme="minorHAnsi"/>
                <w:szCs w:val="24"/>
              </w:rPr>
              <w:t>25%</w:t>
            </w:r>
          </w:p>
        </w:tc>
        <w:tc>
          <w:tcPr>
            <w:tcW w:w="1901" w:type="dxa"/>
            <w:vAlign w:val="center"/>
          </w:tcPr>
          <w:p w14:paraId="0E5E41A0" w14:textId="77777777" w:rsidR="003641BB" w:rsidRDefault="003641BB" w:rsidP="00231EDC">
            <w:pPr>
              <w:jc w:val="center"/>
              <w:rPr>
                <w:rFonts w:asciiTheme="minorHAnsi" w:hAnsiTheme="minorHAnsi"/>
                <w:szCs w:val="24"/>
              </w:rPr>
            </w:pPr>
            <w:r>
              <w:rPr>
                <w:rFonts w:asciiTheme="minorHAnsi" w:hAnsiTheme="minorHAnsi"/>
                <w:szCs w:val="24"/>
              </w:rPr>
              <w:t>Max issuer 5%, combined with corporates and CD</w:t>
            </w:r>
          </w:p>
        </w:tc>
        <w:tc>
          <w:tcPr>
            <w:tcW w:w="1156" w:type="dxa"/>
            <w:vAlign w:val="center"/>
          </w:tcPr>
          <w:p w14:paraId="510858B0" w14:textId="77777777" w:rsidR="003641BB" w:rsidRDefault="003641BB" w:rsidP="00231EDC">
            <w:pPr>
              <w:jc w:val="center"/>
              <w:rPr>
                <w:rFonts w:asciiTheme="minorHAnsi" w:hAnsiTheme="minorHAnsi"/>
                <w:szCs w:val="24"/>
              </w:rPr>
            </w:pPr>
            <w:r>
              <w:rPr>
                <w:rFonts w:asciiTheme="minorHAnsi" w:hAnsiTheme="minorHAnsi"/>
                <w:szCs w:val="24"/>
              </w:rPr>
              <w:t>270 days</w:t>
            </w:r>
          </w:p>
        </w:tc>
        <w:tc>
          <w:tcPr>
            <w:tcW w:w="1574" w:type="dxa"/>
            <w:vAlign w:val="center"/>
          </w:tcPr>
          <w:p w14:paraId="483F2F4E" w14:textId="77777777" w:rsidR="003641BB" w:rsidRDefault="003641BB" w:rsidP="00231EDC">
            <w:pPr>
              <w:jc w:val="center"/>
              <w:rPr>
                <w:rFonts w:asciiTheme="minorHAnsi" w:hAnsiTheme="minorHAnsi"/>
                <w:szCs w:val="24"/>
              </w:rPr>
            </w:pPr>
            <w:r>
              <w:rPr>
                <w:rFonts w:asciiTheme="minorHAnsi" w:hAnsiTheme="minorHAnsi"/>
                <w:szCs w:val="24"/>
              </w:rPr>
              <w:t>A-1 equivalent or better by a NRSRO</w:t>
            </w:r>
          </w:p>
        </w:tc>
        <w:tc>
          <w:tcPr>
            <w:tcW w:w="2465" w:type="dxa"/>
            <w:vAlign w:val="center"/>
          </w:tcPr>
          <w:p w14:paraId="3B06953C" w14:textId="77777777" w:rsidR="003641BB" w:rsidRDefault="003641BB" w:rsidP="00231EDC">
            <w:pPr>
              <w:jc w:val="center"/>
              <w:rPr>
                <w:rFonts w:asciiTheme="minorHAnsi" w:hAnsiTheme="minorHAnsi"/>
                <w:szCs w:val="24"/>
              </w:rPr>
            </w:pPr>
            <w:r>
              <w:rPr>
                <w:rFonts w:asciiTheme="minorHAnsi" w:hAnsiTheme="minorHAnsi"/>
                <w:szCs w:val="24"/>
              </w:rPr>
              <w:t>Type limit 25%, issuer limit 5%, 270 max maturity, A-1 or better by a NRSRO</w:t>
            </w:r>
          </w:p>
        </w:tc>
      </w:tr>
      <w:tr w:rsidR="003641BB" w14:paraId="42F8F8A0" w14:textId="77777777" w:rsidTr="00231EDC">
        <w:tc>
          <w:tcPr>
            <w:tcW w:w="1945" w:type="dxa"/>
            <w:vAlign w:val="center"/>
          </w:tcPr>
          <w:p w14:paraId="0C7B55CD" w14:textId="77777777" w:rsidR="003641BB" w:rsidRDefault="003641BB" w:rsidP="00231EDC">
            <w:pPr>
              <w:jc w:val="center"/>
              <w:rPr>
                <w:rFonts w:asciiTheme="minorHAnsi" w:hAnsiTheme="minorHAnsi"/>
                <w:szCs w:val="24"/>
              </w:rPr>
            </w:pPr>
            <w:r>
              <w:rPr>
                <w:rFonts w:asciiTheme="minorHAnsi" w:hAnsiTheme="minorHAnsi"/>
                <w:szCs w:val="24"/>
              </w:rPr>
              <w:t>Negotiable CDs</w:t>
            </w:r>
          </w:p>
          <w:p w14:paraId="72973FFC" w14:textId="77777777" w:rsidR="003641BB" w:rsidRDefault="003641BB" w:rsidP="00231EDC">
            <w:pPr>
              <w:jc w:val="center"/>
              <w:rPr>
                <w:rFonts w:asciiTheme="minorHAnsi" w:hAnsiTheme="minorHAnsi"/>
                <w:szCs w:val="24"/>
              </w:rPr>
            </w:pPr>
            <w:r>
              <w:rPr>
                <w:rFonts w:asciiTheme="minorHAnsi" w:hAnsiTheme="minorHAnsi"/>
                <w:szCs w:val="24"/>
              </w:rPr>
              <w:t>(above FDIC limit)</w:t>
            </w:r>
          </w:p>
        </w:tc>
        <w:tc>
          <w:tcPr>
            <w:tcW w:w="1219" w:type="dxa"/>
            <w:vAlign w:val="center"/>
          </w:tcPr>
          <w:p w14:paraId="2F7E8E53" w14:textId="77777777" w:rsidR="003641BB" w:rsidRDefault="003641BB" w:rsidP="00231EDC">
            <w:pPr>
              <w:jc w:val="center"/>
              <w:rPr>
                <w:rFonts w:asciiTheme="minorHAnsi" w:hAnsiTheme="minorHAnsi"/>
                <w:szCs w:val="24"/>
              </w:rPr>
            </w:pPr>
            <w:r>
              <w:rPr>
                <w:rFonts w:asciiTheme="minorHAnsi" w:hAnsiTheme="minorHAnsi"/>
                <w:szCs w:val="24"/>
              </w:rPr>
              <w:t>25%</w:t>
            </w:r>
          </w:p>
        </w:tc>
        <w:tc>
          <w:tcPr>
            <w:tcW w:w="1901" w:type="dxa"/>
            <w:vAlign w:val="center"/>
          </w:tcPr>
          <w:p w14:paraId="2526CFA9" w14:textId="77777777" w:rsidR="003641BB" w:rsidRDefault="003641BB" w:rsidP="00231EDC">
            <w:pPr>
              <w:jc w:val="center"/>
              <w:rPr>
                <w:rFonts w:asciiTheme="minorHAnsi" w:hAnsiTheme="minorHAnsi"/>
                <w:szCs w:val="24"/>
              </w:rPr>
            </w:pPr>
            <w:r>
              <w:rPr>
                <w:rFonts w:asciiTheme="minorHAnsi" w:hAnsiTheme="minorHAnsi"/>
                <w:szCs w:val="24"/>
              </w:rPr>
              <w:t xml:space="preserve">Max issuer 5%, combined with corporates and CP, issued by banks, credit unions, S&amp;L in the U.S. </w:t>
            </w:r>
          </w:p>
        </w:tc>
        <w:tc>
          <w:tcPr>
            <w:tcW w:w="1156" w:type="dxa"/>
            <w:vAlign w:val="center"/>
          </w:tcPr>
          <w:p w14:paraId="5CF94123" w14:textId="77777777" w:rsidR="003641BB" w:rsidRDefault="003641BB" w:rsidP="00231EDC">
            <w:pPr>
              <w:jc w:val="center"/>
              <w:rPr>
                <w:rFonts w:asciiTheme="minorHAnsi" w:hAnsiTheme="minorHAnsi"/>
                <w:szCs w:val="24"/>
              </w:rPr>
            </w:pPr>
            <w:r>
              <w:rPr>
                <w:rFonts w:asciiTheme="minorHAnsi" w:hAnsiTheme="minorHAnsi"/>
                <w:szCs w:val="24"/>
              </w:rPr>
              <w:t>5 years</w:t>
            </w:r>
          </w:p>
        </w:tc>
        <w:tc>
          <w:tcPr>
            <w:tcW w:w="1574" w:type="dxa"/>
            <w:vAlign w:val="center"/>
          </w:tcPr>
          <w:p w14:paraId="6144C523" w14:textId="77777777" w:rsidR="003641BB" w:rsidRDefault="003641BB" w:rsidP="00231EDC">
            <w:pPr>
              <w:jc w:val="center"/>
              <w:rPr>
                <w:rFonts w:asciiTheme="minorHAnsi" w:hAnsiTheme="minorHAnsi"/>
                <w:szCs w:val="24"/>
              </w:rPr>
            </w:pPr>
            <w:r>
              <w:rPr>
                <w:rFonts w:asciiTheme="minorHAnsi" w:hAnsiTheme="minorHAnsi"/>
                <w:szCs w:val="24"/>
              </w:rPr>
              <w:t>A-1 equivalent or better by a NRSROs, past 1 year long term rating A or better</w:t>
            </w:r>
          </w:p>
        </w:tc>
        <w:tc>
          <w:tcPr>
            <w:tcW w:w="2465" w:type="dxa"/>
            <w:vAlign w:val="center"/>
          </w:tcPr>
          <w:p w14:paraId="264BBF5C" w14:textId="77777777" w:rsidR="003641BB" w:rsidRDefault="003641BB" w:rsidP="00231EDC">
            <w:pPr>
              <w:jc w:val="center"/>
              <w:rPr>
                <w:rFonts w:asciiTheme="minorHAnsi" w:hAnsiTheme="minorHAnsi"/>
                <w:szCs w:val="24"/>
              </w:rPr>
            </w:pPr>
            <w:r w:rsidRPr="0022632C">
              <w:rPr>
                <w:rFonts w:asciiTheme="minorHAnsi" w:hAnsiTheme="minorHAnsi"/>
                <w:szCs w:val="24"/>
              </w:rPr>
              <w:t>No type limit, no issuer limit, no maturity limit, no rating criteria, issued by banks, credit unions, S&amp;L, and savings banks</w:t>
            </w:r>
          </w:p>
        </w:tc>
      </w:tr>
      <w:tr w:rsidR="003641BB" w14:paraId="222FDD5C" w14:textId="77777777" w:rsidTr="00231EDC">
        <w:tc>
          <w:tcPr>
            <w:tcW w:w="1945" w:type="dxa"/>
            <w:vAlign w:val="center"/>
          </w:tcPr>
          <w:p w14:paraId="6466E18C" w14:textId="77777777" w:rsidR="003641BB" w:rsidRDefault="003641BB" w:rsidP="00231EDC">
            <w:pPr>
              <w:jc w:val="center"/>
              <w:rPr>
                <w:rFonts w:asciiTheme="minorHAnsi" w:hAnsiTheme="minorHAnsi"/>
                <w:szCs w:val="24"/>
              </w:rPr>
            </w:pPr>
            <w:r>
              <w:rPr>
                <w:rFonts w:asciiTheme="minorHAnsi" w:hAnsiTheme="minorHAnsi"/>
                <w:szCs w:val="24"/>
              </w:rPr>
              <w:t>Negotiable CDs</w:t>
            </w:r>
          </w:p>
          <w:p w14:paraId="59E7A661" w14:textId="77777777" w:rsidR="003641BB" w:rsidRDefault="003641BB" w:rsidP="00231EDC">
            <w:pPr>
              <w:jc w:val="center"/>
              <w:rPr>
                <w:rFonts w:asciiTheme="minorHAnsi" w:hAnsiTheme="minorHAnsi"/>
                <w:szCs w:val="24"/>
              </w:rPr>
            </w:pPr>
            <w:r>
              <w:rPr>
                <w:rFonts w:asciiTheme="minorHAnsi" w:hAnsiTheme="minorHAnsi"/>
                <w:szCs w:val="24"/>
              </w:rPr>
              <w:t>(at/below FDIC limit)</w:t>
            </w:r>
          </w:p>
        </w:tc>
        <w:tc>
          <w:tcPr>
            <w:tcW w:w="1219" w:type="dxa"/>
            <w:vAlign w:val="center"/>
          </w:tcPr>
          <w:p w14:paraId="26E6AE02" w14:textId="77777777" w:rsidR="003641BB" w:rsidRDefault="003641BB" w:rsidP="00231EDC">
            <w:pPr>
              <w:jc w:val="center"/>
              <w:rPr>
                <w:rFonts w:asciiTheme="minorHAnsi" w:hAnsiTheme="minorHAnsi"/>
                <w:szCs w:val="24"/>
              </w:rPr>
            </w:pPr>
            <w:r>
              <w:rPr>
                <w:rFonts w:asciiTheme="minorHAnsi" w:hAnsiTheme="minorHAnsi"/>
                <w:szCs w:val="24"/>
              </w:rPr>
              <w:t>25%</w:t>
            </w:r>
          </w:p>
        </w:tc>
        <w:tc>
          <w:tcPr>
            <w:tcW w:w="1901" w:type="dxa"/>
            <w:vAlign w:val="center"/>
          </w:tcPr>
          <w:p w14:paraId="7AAE433D" w14:textId="77777777" w:rsidR="003641BB" w:rsidRDefault="003641BB" w:rsidP="00231EDC">
            <w:pPr>
              <w:jc w:val="center"/>
              <w:rPr>
                <w:rFonts w:asciiTheme="minorHAnsi" w:hAnsiTheme="minorHAnsi"/>
                <w:szCs w:val="24"/>
              </w:rPr>
            </w:pPr>
            <w:r>
              <w:rPr>
                <w:rFonts w:asciiTheme="minorHAnsi" w:hAnsiTheme="minorHAnsi"/>
                <w:szCs w:val="24"/>
              </w:rPr>
              <w:t>FDIC limit (currently $250,000), issued in the U.S.</w:t>
            </w:r>
          </w:p>
        </w:tc>
        <w:tc>
          <w:tcPr>
            <w:tcW w:w="1156" w:type="dxa"/>
            <w:vAlign w:val="center"/>
          </w:tcPr>
          <w:p w14:paraId="0A566410" w14:textId="77777777" w:rsidR="003641BB" w:rsidRDefault="003641BB" w:rsidP="00231EDC">
            <w:pPr>
              <w:jc w:val="center"/>
              <w:rPr>
                <w:rFonts w:asciiTheme="minorHAnsi" w:hAnsiTheme="minorHAnsi"/>
                <w:szCs w:val="24"/>
              </w:rPr>
            </w:pPr>
            <w:r>
              <w:rPr>
                <w:rFonts w:asciiTheme="minorHAnsi" w:hAnsiTheme="minorHAnsi"/>
                <w:szCs w:val="24"/>
              </w:rPr>
              <w:t>5 years</w:t>
            </w:r>
          </w:p>
        </w:tc>
        <w:tc>
          <w:tcPr>
            <w:tcW w:w="1574" w:type="dxa"/>
            <w:vAlign w:val="center"/>
          </w:tcPr>
          <w:p w14:paraId="2F4978AE"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2465" w:type="dxa"/>
            <w:vAlign w:val="center"/>
          </w:tcPr>
          <w:p w14:paraId="30A76DE6" w14:textId="77777777" w:rsidR="003641BB" w:rsidRDefault="003641BB" w:rsidP="00231EDC">
            <w:pPr>
              <w:jc w:val="center"/>
              <w:rPr>
                <w:rFonts w:asciiTheme="minorHAnsi" w:hAnsiTheme="minorHAnsi"/>
                <w:szCs w:val="24"/>
              </w:rPr>
            </w:pPr>
            <w:r w:rsidRPr="00150756">
              <w:rPr>
                <w:rFonts w:asciiTheme="minorHAnsi" w:hAnsiTheme="minorHAnsi"/>
                <w:szCs w:val="24"/>
              </w:rPr>
              <w:t>No type limit, no issuer limit, no maturity limit, no rating criteria, issued by banks, credit unions, S&amp;L, and savings banks</w:t>
            </w:r>
          </w:p>
        </w:tc>
      </w:tr>
      <w:tr w:rsidR="003641BB" w14:paraId="122FC3BC" w14:textId="77777777" w:rsidTr="00231EDC">
        <w:tc>
          <w:tcPr>
            <w:tcW w:w="1945" w:type="dxa"/>
            <w:vAlign w:val="center"/>
          </w:tcPr>
          <w:p w14:paraId="214BCCDE" w14:textId="77777777" w:rsidR="003641BB" w:rsidRDefault="003641BB" w:rsidP="00231EDC">
            <w:pPr>
              <w:jc w:val="center"/>
              <w:rPr>
                <w:rFonts w:asciiTheme="minorHAnsi" w:hAnsiTheme="minorHAnsi"/>
                <w:szCs w:val="24"/>
              </w:rPr>
            </w:pPr>
            <w:r>
              <w:rPr>
                <w:rFonts w:asciiTheme="minorHAnsi" w:hAnsiTheme="minorHAnsi"/>
                <w:szCs w:val="24"/>
              </w:rPr>
              <w:t>Non-Negotiable CDs</w:t>
            </w:r>
          </w:p>
          <w:p w14:paraId="73FF2E32" w14:textId="77777777" w:rsidR="003641BB" w:rsidRDefault="003641BB" w:rsidP="00231EDC">
            <w:pPr>
              <w:jc w:val="center"/>
              <w:rPr>
                <w:rFonts w:asciiTheme="minorHAnsi" w:hAnsiTheme="minorHAnsi"/>
                <w:szCs w:val="24"/>
              </w:rPr>
            </w:pPr>
            <w:r>
              <w:rPr>
                <w:rFonts w:asciiTheme="minorHAnsi" w:hAnsiTheme="minorHAnsi"/>
                <w:szCs w:val="24"/>
              </w:rPr>
              <w:t>(at/below FDIC limit)</w:t>
            </w:r>
          </w:p>
        </w:tc>
        <w:tc>
          <w:tcPr>
            <w:tcW w:w="1219" w:type="dxa"/>
            <w:vAlign w:val="center"/>
          </w:tcPr>
          <w:p w14:paraId="1F9C344B" w14:textId="77777777" w:rsidR="003641BB" w:rsidRDefault="003641BB" w:rsidP="00231EDC">
            <w:pPr>
              <w:jc w:val="center"/>
              <w:rPr>
                <w:rFonts w:asciiTheme="minorHAnsi" w:hAnsiTheme="minorHAnsi"/>
                <w:szCs w:val="24"/>
              </w:rPr>
            </w:pPr>
            <w:r>
              <w:rPr>
                <w:rFonts w:asciiTheme="minorHAnsi" w:hAnsiTheme="minorHAnsi"/>
                <w:szCs w:val="24"/>
              </w:rPr>
              <w:t>5%</w:t>
            </w:r>
          </w:p>
        </w:tc>
        <w:tc>
          <w:tcPr>
            <w:tcW w:w="1901" w:type="dxa"/>
            <w:vAlign w:val="center"/>
          </w:tcPr>
          <w:p w14:paraId="468EEC19" w14:textId="77777777" w:rsidR="003641BB" w:rsidRDefault="003641BB" w:rsidP="00231EDC">
            <w:pPr>
              <w:jc w:val="center"/>
              <w:rPr>
                <w:rFonts w:asciiTheme="minorHAnsi" w:hAnsiTheme="minorHAnsi"/>
                <w:szCs w:val="24"/>
              </w:rPr>
            </w:pPr>
            <w:r>
              <w:rPr>
                <w:rFonts w:asciiTheme="minorHAnsi" w:hAnsiTheme="minorHAnsi"/>
                <w:szCs w:val="24"/>
              </w:rPr>
              <w:t>FDIC limit (currently $250,000), issued in the U.S.</w:t>
            </w:r>
          </w:p>
        </w:tc>
        <w:tc>
          <w:tcPr>
            <w:tcW w:w="1156" w:type="dxa"/>
            <w:vAlign w:val="center"/>
          </w:tcPr>
          <w:p w14:paraId="74046687" w14:textId="77777777" w:rsidR="003641BB" w:rsidRDefault="003641BB" w:rsidP="00231EDC">
            <w:pPr>
              <w:jc w:val="center"/>
              <w:rPr>
                <w:rFonts w:asciiTheme="minorHAnsi" w:hAnsiTheme="minorHAnsi"/>
                <w:szCs w:val="24"/>
              </w:rPr>
            </w:pPr>
            <w:r>
              <w:rPr>
                <w:rFonts w:asciiTheme="minorHAnsi" w:hAnsiTheme="minorHAnsi"/>
                <w:szCs w:val="24"/>
              </w:rPr>
              <w:t>5 years</w:t>
            </w:r>
          </w:p>
        </w:tc>
        <w:tc>
          <w:tcPr>
            <w:tcW w:w="1574" w:type="dxa"/>
            <w:vAlign w:val="center"/>
          </w:tcPr>
          <w:p w14:paraId="67DE3503"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2465" w:type="dxa"/>
            <w:vAlign w:val="center"/>
          </w:tcPr>
          <w:p w14:paraId="52A4AA8D" w14:textId="77777777" w:rsidR="003641BB" w:rsidRDefault="003641BB" w:rsidP="00231EDC">
            <w:pPr>
              <w:jc w:val="center"/>
              <w:rPr>
                <w:rFonts w:asciiTheme="minorHAnsi" w:hAnsiTheme="minorHAnsi"/>
                <w:szCs w:val="24"/>
              </w:rPr>
            </w:pPr>
            <w:r w:rsidRPr="00150756">
              <w:rPr>
                <w:rFonts w:asciiTheme="minorHAnsi" w:hAnsiTheme="minorHAnsi"/>
                <w:szCs w:val="24"/>
              </w:rPr>
              <w:t>No type limit, no issuer limit, no maturity limit, no rating criteria, issued by banks, credit unions, S&amp;L, and savings banks</w:t>
            </w:r>
          </w:p>
        </w:tc>
      </w:tr>
      <w:tr w:rsidR="003641BB" w14:paraId="43A5BE06" w14:textId="77777777" w:rsidTr="00231EDC">
        <w:tc>
          <w:tcPr>
            <w:tcW w:w="1945" w:type="dxa"/>
            <w:vAlign w:val="center"/>
          </w:tcPr>
          <w:p w14:paraId="4D74B4F9" w14:textId="77777777" w:rsidR="003641BB" w:rsidRDefault="003641BB" w:rsidP="00231EDC">
            <w:pPr>
              <w:jc w:val="center"/>
              <w:rPr>
                <w:rFonts w:asciiTheme="minorHAnsi" w:hAnsiTheme="minorHAnsi"/>
                <w:szCs w:val="24"/>
              </w:rPr>
            </w:pPr>
            <w:r>
              <w:rPr>
                <w:rFonts w:asciiTheme="minorHAnsi" w:hAnsiTheme="minorHAnsi"/>
                <w:szCs w:val="24"/>
              </w:rPr>
              <w:t>Corporate Notes/Bonds</w:t>
            </w:r>
          </w:p>
        </w:tc>
        <w:tc>
          <w:tcPr>
            <w:tcW w:w="1219" w:type="dxa"/>
            <w:vAlign w:val="center"/>
          </w:tcPr>
          <w:p w14:paraId="114F9EB5" w14:textId="77777777" w:rsidR="003641BB" w:rsidRDefault="003641BB" w:rsidP="00231EDC">
            <w:pPr>
              <w:jc w:val="center"/>
              <w:rPr>
                <w:rFonts w:asciiTheme="minorHAnsi" w:hAnsiTheme="minorHAnsi"/>
                <w:szCs w:val="24"/>
              </w:rPr>
            </w:pPr>
            <w:r>
              <w:rPr>
                <w:rFonts w:asciiTheme="minorHAnsi" w:hAnsiTheme="minorHAnsi"/>
                <w:szCs w:val="24"/>
              </w:rPr>
              <w:t>25%</w:t>
            </w:r>
          </w:p>
        </w:tc>
        <w:tc>
          <w:tcPr>
            <w:tcW w:w="1901" w:type="dxa"/>
            <w:vAlign w:val="center"/>
          </w:tcPr>
          <w:p w14:paraId="36884EF6" w14:textId="77777777" w:rsidR="003641BB" w:rsidRDefault="003641BB" w:rsidP="00231EDC">
            <w:pPr>
              <w:jc w:val="center"/>
              <w:rPr>
                <w:rFonts w:asciiTheme="minorHAnsi" w:hAnsiTheme="minorHAnsi"/>
                <w:szCs w:val="24"/>
              </w:rPr>
            </w:pPr>
            <w:r>
              <w:rPr>
                <w:rFonts w:asciiTheme="minorHAnsi" w:hAnsiTheme="minorHAnsi"/>
                <w:szCs w:val="24"/>
              </w:rPr>
              <w:t>Max issuer 5%, combined with CDs and CP, issued by U.S. corporations</w:t>
            </w:r>
          </w:p>
        </w:tc>
        <w:tc>
          <w:tcPr>
            <w:tcW w:w="1156" w:type="dxa"/>
            <w:vAlign w:val="center"/>
          </w:tcPr>
          <w:p w14:paraId="2649F89A" w14:textId="77777777" w:rsidR="003641BB" w:rsidRDefault="003641BB" w:rsidP="00231EDC">
            <w:pPr>
              <w:jc w:val="center"/>
              <w:rPr>
                <w:rFonts w:asciiTheme="minorHAnsi" w:hAnsiTheme="minorHAnsi"/>
                <w:szCs w:val="24"/>
              </w:rPr>
            </w:pPr>
            <w:r>
              <w:rPr>
                <w:rFonts w:asciiTheme="minorHAnsi" w:hAnsiTheme="minorHAnsi"/>
                <w:szCs w:val="24"/>
              </w:rPr>
              <w:t>5 years</w:t>
            </w:r>
          </w:p>
        </w:tc>
        <w:tc>
          <w:tcPr>
            <w:tcW w:w="1574" w:type="dxa"/>
            <w:vAlign w:val="center"/>
          </w:tcPr>
          <w:p w14:paraId="7ED2FF7D" w14:textId="77777777" w:rsidR="003641BB" w:rsidRDefault="003641BB" w:rsidP="00231EDC">
            <w:pPr>
              <w:jc w:val="center"/>
              <w:rPr>
                <w:rFonts w:asciiTheme="minorHAnsi" w:hAnsiTheme="minorHAnsi"/>
                <w:szCs w:val="24"/>
              </w:rPr>
            </w:pPr>
            <w:r>
              <w:rPr>
                <w:rFonts w:asciiTheme="minorHAnsi" w:hAnsiTheme="minorHAnsi"/>
                <w:szCs w:val="24"/>
              </w:rPr>
              <w:t>A equivalent or better by a NRSROs</w:t>
            </w:r>
          </w:p>
        </w:tc>
        <w:tc>
          <w:tcPr>
            <w:tcW w:w="2465" w:type="dxa"/>
            <w:vAlign w:val="center"/>
          </w:tcPr>
          <w:p w14:paraId="7FA04C8D" w14:textId="77777777" w:rsidR="003641BB" w:rsidRDefault="003641BB" w:rsidP="00231EDC">
            <w:pPr>
              <w:jc w:val="center"/>
              <w:rPr>
                <w:rFonts w:asciiTheme="minorHAnsi" w:hAnsiTheme="minorHAnsi"/>
                <w:szCs w:val="24"/>
              </w:rPr>
            </w:pPr>
            <w:r>
              <w:rPr>
                <w:rFonts w:asciiTheme="minorHAnsi" w:hAnsiTheme="minorHAnsi"/>
                <w:szCs w:val="24"/>
              </w:rPr>
              <w:t xml:space="preserve">Type limit 25%, issuer limit 5%, maturity limit 5 yrs, </w:t>
            </w:r>
            <w:proofErr w:type="spellStart"/>
            <w:r>
              <w:rPr>
                <w:rFonts w:asciiTheme="minorHAnsi" w:hAnsiTheme="minorHAnsi"/>
                <w:szCs w:val="24"/>
              </w:rPr>
              <w:t>A</w:t>
            </w:r>
            <w:proofErr w:type="spellEnd"/>
            <w:r>
              <w:rPr>
                <w:rFonts w:asciiTheme="minorHAnsi" w:hAnsiTheme="minorHAnsi"/>
                <w:szCs w:val="24"/>
              </w:rPr>
              <w:t xml:space="preserve"> equivalent or better by a NRSRO</w:t>
            </w:r>
          </w:p>
        </w:tc>
      </w:tr>
      <w:tr w:rsidR="003641BB" w14:paraId="0B0F820A" w14:textId="77777777" w:rsidTr="00231EDC">
        <w:tc>
          <w:tcPr>
            <w:tcW w:w="1945" w:type="dxa"/>
            <w:vAlign w:val="center"/>
          </w:tcPr>
          <w:p w14:paraId="4877CF4F" w14:textId="77777777" w:rsidR="003641BB" w:rsidRDefault="003641BB" w:rsidP="00231EDC">
            <w:pPr>
              <w:jc w:val="center"/>
              <w:rPr>
                <w:rFonts w:asciiTheme="minorHAnsi" w:hAnsiTheme="minorHAnsi"/>
                <w:szCs w:val="24"/>
              </w:rPr>
            </w:pPr>
            <w:r>
              <w:rPr>
                <w:rFonts w:asciiTheme="minorHAnsi" w:hAnsiTheme="minorHAnsi"/>
                <w:szCs w:val="24"/>
              </w:rPr>
              <w:t>Asset-Backed Securities</w:t>
            </w:r>
          </w:p>
        </w:tc>
        <w:tc>
          <w:tcPr>
            <w:tcW w:w="1219" w:type="dxa"/>
            <w:vAlign w:val="center"/>
          </w:tcPr>
          <w:p w14:paraId="3758EF74" w14:textId="77777777" w:rsidR="003641BB" w:rsidRDefault="003641BB" w:rsidP="00231EDC">
            <w:pPr>
              <w:jc w:val="center"/>
              <w:rPr>
                <w:rFonts w:asciiTheme="minorHAnsi" w:hAnsiTheme="minorHAnsi"/>
                <w:szCs w:val="24"/>
              </w:rPr>
            </w:pPr>
            <w:r>
              <w:rPr>
                <w:rFonts w:asciiTheme="minorHAnsi" w:hAnsiTheme="minorHAnsi"/>
                <w:szCs w:val="24"/>
              </w:rPr>
              <w:t>20%</w:t>
            </w:r>
          </w:p>
        </w:tc>
        <w:tc>
          <w:tcPr>
            <w:tcW w:w="1901" w:type="dxa"/>
            <w:vAlign w:val="center"/>
          </w:tcPr>
          <w:p w14:paraId="69E7023D" w14:textId="77777777" w:rsidR="003641BB" w:rsidRDefault="003641BB" w:rsidP="00231EDC">
            <w:pPr>
              <w:jc w:val="center"/>
              <w:rPr>
                <w:rFonts w:asciiTheme="minorHAnsi" w:hAnsiTheme="minorHAnsi"/>
                <w:szCs w:val="24"/>
              </w:rPr>
            </w:pPr>
            <w:r>
              <w:rPr>
                <w:rFonts w:asciiTheme="minorHAnsi" w:hAnsiTheme="minorHAnsi"/>
                <w:szCs w:val="24"/>
              </w:rPr>
              <w:t>Max issuer 5%, U.S. issuer</w:t>
            </w:r>
          </w:p>
        </w:tc>
        <w:tc>
          <w:tcPr>
            <w:tcW w:w="1156" w:type="dxa"/>
            <w:vAlign w:val="center"/>
          </w:tcPr>
          <w:p w14:paraId="5E4DDAD7"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1574" w:type="dxa"/>
            <w:vAlign w:val="center"/>
          </w:tcPr>
          <w:p w14:paraId="6BD14D88" w14:textId="77777777" w:rsidR="003641BB" w:rsidRDefault="003641BB" w:rsidP="00231EDC">
            <w:pPr>
              <w:jc w:val="center"/>
              <w:rPr>
                <w:rFonts w:asciiTheme="minorHAnsi" w:hAnsiTheme="minorHAnsi"/>
                <w:szCs w:val="24"/>
              </w:rPr>
            </w:pPr>
            <w:r>
              <w:rPr>
                <w:rFonts w:asciiTheme="minorHAnsi" w:hAnsiTheme="minorHAnsi"/>
                <w:szCs w:val="24"/>
              </w:rPr>
              <w:t>AAA by a NRSRO</w:t>
            </w:r>
          </w:p>
        </w:tc>
        <w:tc>
          <w:tcPr>
            <w:tcW w:w="2465" w:type="dxa"/>
            <w:vAlign w:val="center"/>
          </w:tcPr>
          <w:p w14:paraId="57985C08" w14:textId="77777777" w:rsidR="003641BB" w:rsidRDefault="003641BB" w:rsidP="00231EDC">
            <w:pPr>
              <w:jc w:val="center"/>
              <w:rPr>
                <w:rFonts w:asciiTheme="minorHAnsi" w:hAnsiTheme="minorHAnsi"/>
                <w:szCs w:val="24"/>
              </w:rPr>
            </w:pPr>
            <w:r>
              <w:rPr>
                <w:rFonts w:asciiTheme="minorHAnsi" w:hAnsiTheme="minorHAnsi"/>
                <w:szCs w:val="24"/>
              </w:rPr>
              <w:t>No type limit, no issuer limit, no maturity limit, AAA by a NRSRO, no issuer domicile constraint</w:t>
            </w:r>
          </w:p>
        </w:tc>
      </w:tr>
      <w:tr w:rsidR="003641BB" w14:paraId="61337FC7" w14:textId="77777777" w:rsidTr="00231EDC">
        <w:tc>
          <w:tcPr>
            <w:tcW w:w="1945" w:type="dxa"/>
            <w:vAlign w:val="center"/>
          </w:tcPr>
          <w:p w14:paraId="6CFC7905" w14:textId="77777777" w:rsidR="003641BB" w:rsidRDefault="00225A8F" w:rsidP="00231EDC">
            <w:pPr>
              <w:jc w:val="center"/>
              <w:rPr>
                <w:rFonts w:asciiTheme="minorHAnsi" w:hAnsiTheme="minorHAnsi"/>
                <w:szCs w:val="24"/>
              </w:rPr>
            </w:pPr>
            <w:r>
              <w:rPr>
                <w:rFonts w:asciiTheme="minorHAnsi" w:hAnsiTheme="minorHAnsi"/>
                <w:szCs w:val="24"/>
              </w:rPr>
              <w:t>Mortgage-Backed Securities</w:t>
            </w:r>
          </w:p>
        </w:tc>
        <w:tc>
          <w:tcPr>
            <w:tcW w:w="1219" w:type="dxa"/>
            <w:vAlign w:val="center"/>
          </w:tcPr>
          <w:p w14:paraId="2CBBA848" w14:textId="77777777" w:rsidR="003641BB" w:rsidRDefault="003641BB" w:rsidP="00231EDC">
            <w:pPr>
              <w:jc w:val="center"/>
              <w:rPr>
                <w:rFonts w:asciiTheme="minorHAnsi" w:hAnsiTheme="minorHAnsi"/>
                <w:szCs w:val="24"/>
              </w:rPr>
            </w:pPr>
            <w:r>
              <w:rPr>
                <w:rFonts w:asciiTheme="minorHAnsi" w:hAnsiTheme="minorHAnsi"/>
                <w:szCs w:val="24"/>
              </w:rPr>
              <w:t>20%</w:t>
            </w:r>
          </w:p>
        </w:tc>
        <w:tc>
          <w:tcPr>
            <w:tcW w:w="1901" w:type="dxa"/>
            <w:vAlign w:val="center"/>
          </w:tcPr>
          <w:p w14:paraId="3633A88D" w14:textId="77777777" w:rsidR="003641BB" w:rsidRDefault="00225A8F" w:rsidP="00231EDC">
            <w:pPr>
              <w:jc w:val="center"/>
              <w:rPr>
                <w:rFonts w:asciiTheme="minorHAnsi" w:hAnsiTheme="minorHAnsi"/>
                <w:szCs w:val="24"/>
              </w:rPr>
            </w:pPr>
            <w:r>
              <w:rPr>
                <w:rFonts w:asciiTheme="minorHAnsi" w:hAnsiTheme="minorHAnsi"/>
                <w:szCs w:val="24"/>
              </w:rPr>
              <w:t>100% Backed by U.S. or U.S. GSEs</w:t>
            </w:r>
          </w:p>
        </w:tc>
        <w:tc>
          <w:tcPr>
            <w:tcW w:w="1156" w:type="dxa"/>
            <w:vAlign w:val="center"/>
          </w:tcPr>
          <w:p w14:paraId="76D5ED41" w14:textId="77777777" w:rsidR="003641BB" w:rsidRDefault="003641BB" w:rsidP="00231EDC">
            <w:pPr>
              <w:jc w:val="center"/>
              <w:rPr>
                <w:rFonts w:asciiTheme="minorHAnsi" w:hAnsiTheme="minorHAnsi"/>
                <w:szCs w:val="24"/>
              </w:rPr>
            </w:pPr>
            <w:r>
              <w:rPr>
                <w:rFonts w:asciiTheme="minorHAnsi" w:hAnsiTheme="minorHAnsi"/>
                <w:szCs w:val="24"/>
              </w:rPr>
              <w:t>N/A</w:t>
            </w:r>
          </w:p>
        </w:tc>
        <w:tc>
          <w:tcPr>
            <w:tcW w:w="1574" w:type="dxa"/>
            <w:vAlign w:val="center"/>
          </w:tcPr>
          <w:p w14:paraId="07FBD41F" w14:textId="77777777" w:rsidR="003641BB" w:rsidRDefault="00225A8F" w:rsidP="00231EDC">
            <w:pPr>
              <w:jc w:val="center"/>
              <w:rPr>
                <w:rFonts w:asciiTheme="minorHAnsi" w:hAnsiTheme="minorHAnsi"/>
                <w:szCs w:val="24"/>
              </w:rPr>
            </w:pPr>
            <w:r>
              <w:rPr>
                <w:rFonts w:asciiTheme="minorHAnsi" w:hAnsiTheme="minorHAnsi"/>
                <w:szCs w:val="24"/>
              </w:rPr>
              <w:t>N/A</w:t>
            </w:r>
          </w:p>
        </w:tc>
        <w:tc>
          <w:tcPr>
            <w:tcW w:w="2465" w:type="dxa"/>
            <w:vAlign w:val="center"/>
          </w:tcPr>
          <w:p w14:paraId="63056654" w14:textId="77777777" w:rsidR="003641BB" w:rsidRDefault="003641BB" w:rsidP="00225A8F">
            <w:pPr>
              <w:jc w:val="center"/>
              <w:rPr>
                <w:rFonts w:asciiTheme="minorHAnsi" w:hAnsiTheme="minorHAnsi"/>
                <w:szCs w:val="24"/>
              </w:rPr>
            </w:pPr>
            <w:r w:rsidRPr="004D3FA1">
              <w:rPr>
                <w:rFonts w:asciiTheme="minorHAnsi" w:hAnsiTheme="minorHAnsi"/>
                <w:szCs w:val="24"/>
              </w:rPr>
              <w:t>No type limit, no issuer limit, n</w:t>
            </w:r>
            <w:r w:rsidR="00225A8F">
              <w:rPr>
                <w:rFonts w:asciiTheme="minorHAnsi" w:hAnsiTheme="minorHAnsi"/>
                <w:szCs w:val="24"/>
              </w:rPr>
              <w:t>o maturity limit</w:t>
            </w:r>
            <w:r w:rsidRPr="004D3FA1">
              <w:rPr>
                <w:rFonts w:asciiTheme="minorHAnsi" w:hAnsiTheme="minorHAnsi"/>
                <w:szCs w:val="24"/>
              </w:rPr>
              <w:t xml:space="preserve"> </w:t>
            </w:r>
          </w:p>
        </w:tc>
      </w:tr>
      <w:tr w:rsidR="003641BB" w14:paraId="09D1756A" w14:textId="77777777" w:rsidTr="00231EDC">
        <w:tc>
          <w:tcPr>
            <w:tcW w:w="1945" w:type="dxa"/>
            <w:vAlign w:val="center"/>
          </w:tcPr>
          <w:p w14:paraId="0FB9D847" w14:textId="77777777" w:rsidR="003641BB" w:rsidRDefault="003641BB" w:rsidP="00231EDC">
            <w:pPr>
              <w:jc w:val="center"/>
              <w:rPr>
                <w:rFonts w:asciiTheme="minorHAnsi" w:hAnsiTheme="minorHAnsi"/>
                <w:szCs w:val="24"/>
              </w:rPr>
            </w:pPr>
            <w:r>
              <w:rPr>
                <w:rFonts w:asciiTheme="minorHAnsi" w:hAnsiTheme="minorHAnsi"/>
                <w:szCs w:val="24"/>
              </w:rPr>
              <w:t>State and Local Government Bonds</w:t>
            </w:r>
          </w:p>
        </w:tc>
        <w:tc>
          <w:tcPr>
            <w:tcW w:w="1219" w:type="dxa"/>
            <w:vAlign w:val="center"/>
          </w:tcPr>
          <w:p w14:paraId="67AACD3E" w14:textId="77777777" w:rsidR="003641BB" w:rsidRDefault="003641BB" w:rsidP="00231EDC">
            <w:pPr>
              <w:jc w:val="center"/>
              <w:rPr>
                <w:rFonts w:asciiTheme="minorHAnsi" w:hAnsiTheme="minorHAnsi"/>
                <w:szCs w:val="24"/>
              </w:rPr>
            </w:pPr>
            <w:r>
              <w:rPr>
                <w:rFonts w:asciiTheme="minorHAnsi" w:hAnsiTheme="minorHAnsi"/>
                <w:szCs w:val="24"/>
              </w:rPr>
              <w:t>20%</w:t>
            </w:r>
          </w:p>
        </w:tc>
        <w:tc>
          <w:tcPr>
            <w:tcW w:w="1901" w:type="dxa"/>
            <w:vAlign w:val="center"/>
          </w:tcPr>
          <w:p w14:paraId="1E90BF3B" w14:textId="77777777" w:rsidR="003641BB" w:rsidRDefault="003641BB" w:rsidP="00231EDC">
            <w:pPr>
              <w:jc w:val="center"/>
              <w:rPr>
                <w:rFonts w:asciiTheme="minorHAnsi" w:hAnsiTheme="minorHAnsi"/>
                <w:szCs w:val="24"/>
              </w:rPr>
            </w:pPr>
            <w:r>
              <w:rPr>
                <w:rFonts w:asciiTheme="minorHAnsi" w:hAnsiTheme="minorHAnsi"/>
                <w:szCs w:val="24"/>
              </w:rPr>
              <w:t xml:space="preserve">Max issuer 5%, tax exempt from federal taxes </w:t>
            </w:r>
          </w:p>
        </w:tc>
        <w:tc>
          <w:tcPr>
            <w:tcW w:w="1156" w:type="dxa"/>
            <w:vAlign w:val="center"/>
          </w:tcPr>
          <w:p w14:paraId="32051001" w14:textId="77777777" w:rsidR="003641BB" w:rsidRDefault="003641BB" w:rsidP="00231EDC">
            <w:pPr>
              <w:jc w:val="center"/>
              <w:rPr>
                <w:rFonts w:asciiTheme="minorHAnsi" w:hAnsiTheme="minorHAnsi"/>
                <w:szCs w:val="24"/>
              </w:rPr>
            </w:pPr>
            <w:r>
              <w:rPr>
                <w:rFonts w:asciiTheme="minorHAnsi" w:hAnsiTheme="minorHAnsi"/>
                <w:szCs w:val="24"/>
              </w:rPr>
              <w:t>5 years</w:t>
            </w:r>
          </w:p>
        </w:tc>
        <w:tc>
          <w:tcPr>
            <w:tcW w:w="1574" w:type="dxa"/>
            <w:vAlign w:val="center"/>
          </w:tcPr>
          <w:p w14:paraId="0743BA7A" w14:textId="77777777" w:rsidR="003641BB" w:rsidRDefault="003641BB" w:rsidP="00231EDC">
            <w:pPr>
              <w:jc w:val="center"/>
              <w:rPr>
                <w:rFonts w:asciiTheme="minorHAnsi" w:hAnsiTheme="minorHAnsi"/>
                <w:szCs w:val="24"/>
              </w:rPr>
            </w:pPr>
            <w:r>
              <w:rPr>
                <w:rFonts w:asciiTheme="minorHAnsi" w:hAnsiTheme="minorHAnsi"/>
                <w:szCs w:val="24"/>
              </w:rPr>
              <w:t>A equivalent or better by a NRSRO</w:t>
            </w:r>
          </w:p>
        </w:tc>
        <w:tc>
          <w:tcPr>
            <w:tcW w:w="2465" w:type="dxa"/>
            <w:vAlign w:val="center"/>
          </w:tcPr>
          <w:p w14:paraId="4C559211" w14:textId="77777777" w:rsidR="003641BB" w:rsidRDefault="003641BB" w:rsidP="00231EDC">
            <w:pPr>
              <w:jc w:val="center"/>
              <w:rPr>
                <w:rFonts w:asciiTheme="minorHAnsi" w:hAnsiTheme="minorHAnsi"/>
                <w:szCs w:val="24"/>
              </w:rPr>
            </w:pPr>
            <w:r w:rsidRPr="004D3FA1">
              <w:rPr>
                <w:rFonts w:asciiTheme="minorHAnsi" w:hAnsiTheme="minorHAnsi"/>
                <w:szCs w:val="24"/>
              </w:rPr>
              <w:t>No type limit, no issuer limit, no maturity limit, A by a NRSR</w:t>
            </w:r>
            <w:r>
              <w:rPr>
                <w:rFonts w:asciiTheme="minorHAnsi" w:hAnsiTheme="minorHAnsi"/>
                <w:szCs w:val="24"/>
              </w:rPr>
              <w:t>O, obligation federal tax exempt</w:t>
            </w:r>
          </w:p>
        </w:tc>
      </w:tr>
    </w:tbl>
    <w:p w14:paraId="439211D0" w14:textId="77777777" w:rsidR="003641BB" w:rsidRDefault="003641BB">
      <w:pPr>
        <w:rPr>
          <w:rFonts w:ascii="Tahoma" w:hAnsi="Tahoma" w:cs="Tahoma"/>
          <w:b/>
          <w:bCs/>
          <w:color w:val="000000" w:themeColor="text1"/>
          <w:sz w:val="20"/>
        </w:rPr>
      </w:pPr>
    </w:p>
    <w:p w14:paraId="55C23C24" w14:textId="77777777" w:rsidR="00225A8F" w:rsidRPr="00DE4046" w:rsidRDefault="00786743">
      <w:pPr>
        <w:rPr>
          <w:rFonts w:ascii="Tahoma" w:hAnsi="Tahoma" w:cs="Tahoma"/>
          <w:b/>
          <w:bCs/>
          <w:color w:val="FF0000"/>
          <w:sz w:val="20"/>
        </w:rPr>
      </w:pPr>
      <w:r w:rsidRPr="00DE4046">
        <w:rPr>
          <w:rFonts w:ascii="Tahoma" w:hAnsi="Tahoma" w:cs="Tahoma"/>
          <w:b/>
          <w:bCs/>
          <w:color w:val="FF0000"/>
          <w:sz w:val="20"/>
        </w:rPr>
        <w:t>This table is only an example and should be customized for an entity’s specific investment parameters and guidelines.</w:t>
      </w:r>
    </w:p>
    <w:p w14:paraId="178A1A48" w14:textId="77777777" w:rsidR="003641BB" w:rsidRDefault="003641BB" w:rsidP="003641BB">
      <w:pPr>
        <w:spacing w:after="0" w:line="240" w:lineRule="auto"/>
        <w:jc w:val="center"/>
        <w:rPr>
          <w:rFonts w:ascii="Calibri" w:eastAsia="Calibri" w:hAnsi="Calibri" w:cs="Times New Roman"/>
          <w:b/>
          <w:color w:val="000000" w:themeColor="text1"/>
          <w:sz w:val="28"/>
          <w:szCs w:val="48"/>
        </w:rPr>
      </w:pPr>
      <w:r>
        <w:rPr>
          <w:rFonts w:ascii="Calibri" w:eastAsia="Calibri" w:hAnsi="Calibri" w:cs="Times New Roman"/>
          <w:b/>
          <w:sz w:val="28"/>
          <w:szCs w:val="48"/>
        </w:rPr>
        <w:lastRenderedPageBreak/>
        <w:t xml:space="preserve">SAMPLE </w:t>
      </w:r>
      <w:r w:rsidRPr="003641BB">
        <w:rPr>
          <w:rFonts w:ascii="Calibri" w:eastAsia="Calibri" w:hAnsi="Calibri" w:cs="Times New Roman"/>
          <w:b/>
          <w:sz w:val="28"/>
          <w:szCs w:val="48"/>
        </w:rPr>
        <w:t xml:space="preserve">CREDIT RATINGS </w:t>
      </w:r>
      <w:r w:rsidRPr="003641BB">
        <w:rPr>
          <w:rFonts w:ascii="Calibri" w:eastAsia="Calibri" w:hAnsi="Calibri" w:cs="Times New Roman"/>
          <w:b/>
          <w:color w:val="000000" w:themeColor="text1"/>
          <w:sz w:val="28"/>
          <w:szCs w:val="48"/>
        </w:rPr>
        <w:t>INTERPRETATION</w:t>
      </w:r>
    </w:p>
    <w:p w14:paraId="281EF088" w14:textId="77777777" w:rsidR="003641BB" w:rsidRPr="003641BB" w:rsidRDefault="003641BB" w:rsidP="003641BB">
      <w:pPr>
        <w:spacing w:after="0" w:line="240" w:lineRule="auto"/>
        <w:jc w:val="center"/>
        <w:rPr>
          <w:rFonts w:ascii="Calibri" w:eastAsia="Calibri" w:hAnsi="Calibri" w:cs="Times New Roman"/>
          <w:b/>
          <w:color w:val="000000" w:themeColor="text1"/>
          <w:sz w:val="12"/>
          <w:szCs w:val="12"/>
        </w:rPr>
      </w:pPr>
    </w:p>
    <w:tbl>
      <w:tblPr>
        <w:tblW w:w="7001" w:type="dxa"/>
        <w:jc w:val="center"/>
        <w:tblLook w:val="04A0" w:firstRow="1" w:lastRow="0" w:firstColumn="1" w:lastColumn="0" w:noHBand="0" w:noVBand="1"/>
      </w:tblPr>
      <w:tblGrid>
        <w:gridCol w:w="1196"/>
        <w:gridCol w:w="728"/>
        <w:gridCol w:w="788"/>
        <w:gridCol w:w="4289"/>
      </w:tblGrid>
      <w:tr w:rsidR="003641BB" w:rsidRPr="003641BB" w14:paraId="4C3443C2" w14:textId="77777777" w:rsidTr="00231EDC">
        <w:trPr>
          <w:trHeight w:val="600"/>
          <w:jc w:val="center"/>
        </w:trPr>
        <w:tc>
          <w:tcPr>
            <w:tcW w:w="7001" w:type="dxa"/>
            <w:gridSpan w:val="4"/>
            <w:tcBorders>
              <w:top w:val="nil"/>
              <w:left w:val="nil"/>
              <w:bottom w:val="single" w:sz="4" w:space="0" w:color="auto"/>
              <w:right w:val="nil"/>
            </w:tcBorders>
            <w:shd w:val="clear" w:color="000000" w:fill="000000"/>
            <w:noWrap/>
            <w:vAlign w:val="center"/>
            <w:hideMark/>
          </w:tcPr>
          <w:p w14:paraId="45FE69F9" w14:textId="77777777" w:rsidR="003641BB" w:rsidRPr="003641BB" w:rsidRDefault="003641BB" w:rsidP="00231EDC">
            <w:pPr>
              <w:spacing w:after="0" w:line="240" w:lineRule="auto"/>
              <w:jc w:val="center"/>
              <w:rPr>
                <w:rFonts w:ascii="Calibri" w:eastAsia="Calibri" w:hAnsi="Calibri" w:cs="Times New Roman"/>
                <w:color w:val="FFFFFF"/>
                <w:szCs w:val="24"/>
              </w:rPr>
            </w:pPr>
            <w:r w:rsidRPr="003641BB">
              <w:rPr>
                <w:rFonts w:ascii="Calibri" w:eastAsia="Calibri" w:hAnsi="Calibri" w:cs="Times New Roman"/>
                <w:color w:val="FFFFFF"/>
                <w:szCs w:val="24"/>
              </w:rPr>
              <w:t>SHORT TERM DEBT RATINGS</w:t>
            </w:r>
          </w:p>
        </w:tc>
      </w:tr>
      <w:tr w:rsidR="003641BB" w:rsidRPr="003641BB" w14:paraId="7828EEC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0C183C33" w14:textId="77777777" w:rsidR="003641BB" w:rsidRPr="003641BB" w:rsidRDefault="003641BB" w:rsidP="00231EDC">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MOODY'S</w:t>
            </w:r>
          </w:p>
        </w:tc>
        <w:tc>
          <w:tcPr>
            <w:tcW w:w="728" w:type="dxa"/>
            <w:tcBorders>
              <w:top w:val="nil"/>
              <w:left w:val="nil"/>
              <w:bottom w:val="single" w:sz="4" w:space="0" w:color="auto"/>
              <w:right w:val="single" w:sz="4" w:space="0" w:color="auto"/>
            </w:tcBorders>
            <w:shd w:val="clear" w:color="000000" w:fill="FFFFFF"/>
            <w:noWrap/>
            <w:vAlign w:val="bottom"/>
            <w:hideMark/>
          </w:tcPr>
          <w:p w14:paraId="18CA3863" w14:textId="77777777" w:rsidR="003641BB" w:rsidRPr="003641BB" w:rsidRDefault="003641BB" w:rsidP="00231EDC">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S&amp;P</w:t>
            </w:r>
          </w:p>
        </w:tc>
        <w:tc>
          <w:tcPr>
            <w:tcW w:w="788" w:type="dxa"/>
            <w:tcBorders>
              <w:top w:val="nil"/>
              <w:left w:val="nil"/>
              <w:bottom w:val="single" w:sz="4" w:space="0" w:color="auto"/>
              <w:right w:val="single" w:sz="4" w:space="0" w:color="auto"/>
            </w:tcBorders>
            <w:shd w:val="clear" w:color="000000" w:fill="FFFFFF"/>
            <w:noWrap/>
            <w:vAlign w:val="bottom"/>
            <w:hideMark/>
          </w:tcPr>
          <w:p w14:paraId="20E1E8DC" w14:textId="77777777" w:rsidR="003641BB" w:rsidRPr="003641BB" w:rsidRDefault="003641BB" w:rsidP="00231EDC">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FITCH</w:t>
            </w:r>
          </w:p>
        </w:tc>
        <w:tc>
          <w:tcPr>
            <w:tcW w:w="4289" w:type="dxa"/>
            <w:tcBorders>
              <w:top w:val="nil"/>
              <w:left w:val="nil"/>
              <w:bottom w:val="single" w:sz="4" w:space="0" w:color="auto"/>
              <w:right w:val="single" w:sz="4" w:space="0" w:color="auto"/>
            </w:tcBorders>
            <w:shd w:val="clear" w:color="000000" w:fill="FFFFFF"/>
            <w:noWrap/>
            <w:vAlign w:val="bottom"/>
            <w:hideMark/>
          </w:tcPr>
          <w:p w14:paraId="15AF10EC" w14:textId="77777777" w:rsidR="003641BB" w:rsidRPr="003641BB" w:rsidRDefault="003641BB" w:rsidP="00231EDC">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RATINGS INTERPRETATION FOR CREDIT</w:t>
            </w:r>
          </w:p>
        </w:tc>
      </w:tr>
      <w:tr w:rsidR="003641BB" w:rsidRPr="003641BB" w14:paraId="1CE5BA4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555CEEE1"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P-1</w:t>
            </w:r>
          </w:p>
        </w:tc>
        <w:tc>
          <w:tcPr>
            <w:tcW w:w="728" w:type="dxa"/>
            <w:tcBorders>
              <w:top w:val="nil"/>
              <w:left w:val="nil"/>
              <w:bottom w:val="single" w:sz="4" w:space="0" w:color="auto"/>
              <w:right w:val="single" w:sz="4" w:space="0" w:color="auto"/>
            </w:tcBorders>
            <w:shd w:val="clear" w:color="000000" w:fill="FFFFFF"/>
            <w:noWrap/>
            <w:vAlign w:val="bottom"/>
            <w:hideMark/>
          </w:tcPr>
          <w:p w14:paraId="69451C8E"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A-1+</w:t>
            </w:r>
          </w:p>
        </w:tc>
        <w:tc>
          <w:tcPr>
            <w:tcW w:w="788" w:type="dxa"/>
            <w:tcBorders>
              <w:top w:val="nil"/>
              <w:left w:val="nil"/>
              <w:bottom w:val="single" w:sz="4" w:space="0" w:color="auto"/>
              <w:right w:val="single" w:sz="4" w:space="0" w:color="auto"/>
            </w:tcBorders>
            <w:shd w:val="clear" w:color="000000" w:fill="FFFFFF"/>
            <w:noWrap/>
            <w:vAlign w:val="bottom"/>
            <w:hideMark/>
          </w:tcPr>
          <w:p w14:paraId="1B65663B"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F1+</w:t>
            </w:r>
          </w:p>
        </w:tc>
        <w:tc>
          <w:tcPr>
            <w:tcW w:w="4289" w:type="dxa"/>
            <w:tcBorders>
              <w:top w:val="nil"/>
              <w:left w:val="nil"/>
              <w:bottom w:val="single" w:sz="4" w:space="0" w:color="auto"/>
              <w:right w:val="single" w:sz="4" w:space="0" w:color="auto"/>
            </w:tcBorders>
            <w:shd w:val="clear" w:color="000000" w:fill="FFFFFF"/>
            <w:noWrap/>
            <w:vAlign w:val="bottom"/>
            <w:hideMark/>
          </w:tcPr>
          <w:p w14:paraId="1C0F9577"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STRONGEST QUALITY</w:t>
            </w:r>
          </w:p>
        </w:tc>
      </w:tr>
      <w:tr w:rsidR="003641BB" w:rsidRPr="003641BB" w14:paraId="14EB9FC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342799D9" w14:textId="77777777" w:rsidR="003641BB" w:rsidRPr="003641BB" w:rsidRDefault="003641BB" w:rsidP="00231EDC">
            <w:pPr>
              <w:spacing w:after="0" w:line="240" w:lineRule="auto"/>
              <w:jc w:val="center"/>
              <w:rPr>
                <w:rFonts w:ascii="Calibri" w:eastAsia="Calibri" w:hAnsi="Calibri" w:cs="Times New Roman"/>
                <w:color w:val="000000"/>
                <w:szCs w:val="24"/>
              </w:rPr>
            </w:pPr>
          </w:p>
        </w:tc>
        <w:tc>
          <w:tcPr>
            <w:tcW w:w="728" w:type="dxa"/>
            <w:tcBorders>
              <w:top w:val="nil"/>
              <w:left w:val="nil"/>
              <w:bottom w:val="single" w:sz="4" w:space="0" w:color="auto"/>
              <w:right w:val="single" w:sz="4" w:space="0" w:color="auto"/>
            </w:tcBorders>
            <w:shd w:val="clear" w:color="000000" w:fill="FFFFFF"/>
            <w:noWrap/>
            <w:vAlign w:val="bottom"/>
            <w:hideMark/>
          </w:tcPr>
          <w:p w14:paraId="6E45D6D2"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A-1</w:t>
            </w:r>
          </w:p>
        </w:tc>
        <w:tc>
          <w:tcPr>
            <w:tcW w:w="788" w:type="dxa"/>
            <w:tcBorders>
              <w:top w:val="nil"/>
              <w:left w:val="nil"/>
              <w:bottom w:val="single" w:sz="4" w:space="0" w:color="auto"/>
              <w:right w:val="single" w:sz="4" w:space="0" w:color="auto"/>
            </w:tcBorders>
            <w:shd w:val="clear" w:color="000000" w:fill="FFFFFF"/>
            <w:noWrap/>
            <w:vAlign w:val="bottom"/>
            <w:hideMark/>
          </w:tcPr>
          <w:p w14:paraId="084F30F3"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F1</w:t>
            </w:r>
          </w:p>
        </w:tc>
        <w:tc>
          <w:tcPr>
            <w:tcW w:w="4289" w:type="dxa"/>
            <w:tcBorders>
              <w:top w:val="nil"/>
              <w:left w:val="nil"/>
              <w:bottom w:val="single" w:sz="4" w:space="0" w:color="auto"/>
              <w:right w:val="single" w:sz="4" w:space="0" w:color="auto"/>
            </w:tcBorders>
            <w:shd w:val="clear" w:color="000000" w:fill="FFFFFF"/>
            <w:noWrap/>
            <w:vAlign w:val="bottom"/>
            <w:hideMark/>
          </w:tcPr>
          <w:p w14:paraId="61159B17"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STRONG QUALITY</w:t>
            </w:r>
          </w:p>
        </w:tc>
      </w:tr>
      <w:tr w:rsidR="003641BB" w:rsidRPr="003641BB" w14:paraId="2FCD4B97"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2E5CF6F3"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P-2</w:t>
            </w:r>
          </w:p>
        </w:tc>
        <w:tc>
          <w:tcPr>
            <w:tcW w:w="728" w:type="dxa"/>
            <w:tcBorders>
              <w:top w:val="nil"/>
              <w:left w:val="nil"/>
              <w:bottom w:val="single" w:sz="4" w:space="0" w:color="auto"/>
              <w:right w:val="single" w:sz="4" w:space="0" w:color="auto"/>
            </w:tcBorders>
            <w:shd w:val="clear" w:color="000000" w:fill="FFFFFF"/>
            <w:noWrap/>
            <w:vAlign w:val="bottom"/>
            <w:hideMark/>
          </w:tcPr>
          <w:p w14:paraId="3F7A8C76"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A-2</w:t>
            </w:r>
          </w:p>
        </w:tc>
        <w:tc>
          <w:tcPr>
            <w:tcW w:w="788" w:type="dxa"/>
            <w:tcBorders>
              <w:top w:val="nil"/>
              <w:left w:val="nil"/>
              <w:bottom w:val="single" w:sz="4" w:space="0" w:color="auto"/>
              <w:right w:val="single" w:sz="4" w:space="0" w:color="auto"/>
            </w:tcBorders>
            <w:shd w:val="clear" w:color="000000" w:fill="FFFFFF"/>
            <w:noWrap/>
            <w:vAlign w:val="bottom"/>
            <w:hideMark/>
          </w:tcPr>
          <w:p w14:paraId="5B6B6FF2"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F2</w:t>
            </w:r>
          </w:p>
        </w:tc>
        <w:tc>
          <w:tcPr>
            <w:tcW w:w="4289" w:type="dxa"/>
            <w:tcBorders>
              <w:top w:val="nil"/>
              <w:left w:val="nil"/>
              <w:bottom w:val="single" w:sz="4" w:space="0" w:color="auto"/>
              <w:right w:val="single" w:sz="4" w:space="0" w:color="auto"/>
            </w:tcBorders>
            <w:shd w:val="clear" w:color="000000" w:fill="FFFFFF"/>
            <w:noWrap/>
            <w:vAlign w:val="bottom"/>
            <w:hideMark/>
          </w:tcPr>
          <w:p w14:paraId="43B27207"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GOOD QUALITY</w:t>
            </w:r>
          </w:p>
        </w:tc>
      </w:tr>
      <w:tr w:rsidR="003641BB" w:rsidRPr="003641BB" w14:paraId="3EC9079C"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71D9998C"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P-3</w:t>
            </w:r>
          </w:p>
        </w:tc>
        <w:tc>
          <w:tcPr>
            <w:tcW w:w="728" w:type="dxa"/>
            <w:tcBorders>
              <w:top w:val="nil"/>
              <w:left w:val="nil"/>
              <w:bottom w:val="single" w:sz="4" w:space="0" w:color="auto"/>
              <w:right w:val="single" w:sz="4" w:space="0" w:color="auto"/>
            </w:tcBorders>
            <w:shd w:val="clear" w:color="000000" w:fill="FFFFFF"/>
            <w:noWrap/>
            <w:vAlign w:val="bottom"/>
            <w:hideMark/>
          </w:tcPr>
          <w:p w14:paraId="43E48AD1"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A-3</w:t>
            </w:r>
          </w:p>
        </w:tc>
        <w:tc>
          <w:tcPr>
            <w:tcW w:w="788" w:type="dxa"/>
            <w:tcBorders>
              <w:top w:val="nil"/>
              <w:left w:val="nil"/>
              <w:bottom w:val="single" w:sz="4" w:space="0" w:color="auto"/>
              <w:right w:val="single" w:sz="4" w:space="0" w:color="auto"/>
            </w:tcBorders>
            <w:shd w:val="clear" w:color="000000" w:fill="FFFFFF"/>
            <w:noWrap/>
            <w:vAlign w:val="bottom"/>
            <w:hideMark/>
          </w:tcPr>
          <w:p w14:paraId="31AE509D"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F3</w:t>
            </w:r>
          </w:p>
        </w:tc>
        <w:tc>
          <w:tcPr>
            <w:tcW w:w="4289" w:type="dxa"/>
            <w:tcBorders>
              <w:top w:val="nil"/>
              <w:left w:val="nil"/>
              <w:bottom w:val="single" w:sz="4" w:space="0" w:color="auto"/>
              <w:right w:val="single" w:sz="4" w:space="0" w:color="auto"/>
            </w:tcBorders>
            <w:shd w:val="clear" w:color="000000" w:fill="FFFFFF"/>
            <w:noWrap/>
            <w:vAlign w:val="bottom"/>
            <w:hideMark/>
          </w:tcPr>
          <w:p w14:paraId="075764F7" w14:textId="77777777" w:rsidR="003641BB" w:rsidRPr="003641BB" w:rsidRDefault="003641BB" w:rsidP="00231EDC">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MEDIUM QUALITY</w:t>
            </w:r>
          </w:p>
        </w:tc>
      </w:tr>
    </w:tbl>
    <w:p w14:paraId="4135C822" w14:textId="77777777" w:rsidR="003641BB" w:rsidRPr="003641BB" w:rsidRDefault="003641BB" w:rsidP="003641BB">
      <w:pPr>
        <w:rPr>
          <w:rFonts w:ascii="Tahoma" w:hAnsi="Tahoma" w:cs="Tahoma"/>
          <w:b/>
          <w:bCs/>
          <w:color w:val="000000" w:themeColor="text1"/>
          <w:sz w:val="8"/>
        </w:rPr>
      </w:pPr>
    </w:p>
    <w:tbl>
      <w:tblPr>
        <w:tblW w:w="7001" w:type="dxa"/>
        <w:jc w:val="center"/>
        <w:tblLook w:val="04A0" w:firstRow="1" w:lastRow="0" w:firstColumn="1" w:lastColumn="0" w:noHBand="0" w:noVBand="1"/>
      </w:tblPr>
      <w:tblGrid>
        <w:gridCol w:w="1196"/>
        <w:gridCol w:w="728"/>
        <w:gridCol w:w="788"/>
        <w:gridCol w:w="4289"/>
      </w:tblGrid>
      <w:tr w:rsidR="003641BB" w:rsidRPr="003641BB" w14:paraId="3B3BD1E7" w14:textId="77777777" w:rsidTr="00231EDC">
        <w:trPr>
          <w:trHeight w:val="600"/>
          <w:jc w:val="center"/>
        </w:trPr>
        <w:tc>
          <w:tcPr>
            <w:tcW w:w="7001"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74B9FBC" w14:textId="77777777" w:rsidR="003641BB" w:rsidRPr="003641BB" w:rsidRDefault="003641BB" w:rsidP="003641BB">
            <w:pPr>
              <w:spacing w:after="0" w:line="240" w:lineRule="auto"/>
              <w:jc w:val="center"/>
              <w:rPr>
                <w:rFonts w:ascii="Calibri" w:eastAsia="Calibri" w:hAnsi="Calibri" w:cs="Times New Roman"/>
                <w:color w:val="FFFFFF"/>
                <w:szCs w:val="24"/>
              </w:rPr>
            </w:pPr>
            <w:r w:rsidRPr="003641BB">
              <w:rPr>
                <w:rFonts w:ascii="Calibri" w:eastAsia="Calibri" w:hAnsi="Calibri" w:cs="Times New Roman"/>
                <w:color w:val="FFFFFF"/>
                <w:szCs w:val="24"/>
              </w:rPr>
              <w:t>LONG TERM DEBT RATINGS</w:t>
            </w:r>
          </w:p>
        </w:tc>
      </w:tr>
      <w:tr w:rsidR="003641BB" w:rsidRPr="003641BB" w14:paraId="4CAAAE9C"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00F06642" w14:textId="77777777" w:rsidR="003641BB" w:rsidRPr="003641BB" w:rsidRDefault="003641BB" w:rsidP="003641BB">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MOODY'S</w:t>
            </w:r>
          </w:p>
        </w:tc>
        <w:tc>
          <w:tcPr>
            <w:tcW w:w="728" w:type="dxa"/>
            <w:tcBorders>
              <w:top w:val="nil"/>
              <w:left w:val="nil"/>
              <w:bottom w:val="single" w:sz="4" w:space="0" w:color="auto"/>
              <w:right w:val="single" w:sz="4" w:space="0" w:color="auto"/>
            </w:tcBorders>
            <w:shd w:val="clear" w:color="000000" w:fill="FFFFFF"/>
            <w:noWrap/>
            <w:vAlign w:val="bottom"/>
            <w:hideMark/>
          </w:tcPr>
          <w:p w14:paraId="218FB590" w14:textId="77777777" w:rsidR="003641BB" w:rsidRPr="003641BB" w:rsidRDefault="003641BB" w:rsidP="003641BB">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S&amp;P</w:t>
            </w:r>
          </w:p>
        </w:tc>
        <w:tc>
          <w:tcPr>
            <w:tcW w:w="788" w:type="dxa"/>
            <w:tcBorders>
              <w:top w:val="nil"/>
              <w:left w:val="nil"/>
              <w:bottom w:val="single" w:sz="4" w:space="0" w:color="auto"/>
              <w:right w:val="single" w:sz="4" w:space="0" w:color="auto"/>
            </w:tcBorders>
            <w:shd w:val="clear" w:color="000000" w:fill="FFFFFF"/>
            <w:noWrap/>
            <w:vAlign w:val="bottom"/>
            <w:hideMark/>
          </w:tcPr>
          <w:p w14:paraId="21352903" w14:textId="77777777" w:rsidR="003641BB" w:rsidRPr="003641BB" w:rsidRDefault="003641BB" w:rsidP="003641BB">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FITCH</w:t>
            </w:r>
          </w:p>
        </w:tc>
        <w:tc>
          <w:tcPr>
            <w:tcW w:w="4289" w:type="dxa"/>
            <w:tcBorders>
              <w:top w:val="nil"/>
              <w:left w:val="nil"/>
              <w:bottom w:val="single" w:sz="4" w:space="0" w:color="auto"/>
              <w:right w:val="single" w:sz="4" w:space="0" w:color="auto"/>
            </w:tcBorders>
            <w:shd w:val="clear" w:color="000000" w:fill="FFFFFF"/>
            <w:noWrap/>
            <w:vAlign w:val="bottom"/>
            <w:hideMark/>
          </w:tcPr>
          <w:p w14:paraId="0F7312F3" w14:textId="77777777" w:rsidR="003641BB" w:rsidRPr="003641BB" w:rsidRDefault="003641BB" w:rsidP="003641BB">
            <w:pPr>
              <w:spacing w:after="0" w:line="240" w:lineRule="auto"/>
              <w:jc w:val="center"/>
              <w:rPr>
                <w:rFonts w:ascii="Calibri" w:eastAsia="Calibri" w:hAnsi="Calibri" w:cs="Times New Roman"/>
                <w:b/>
                <w:bCs/>
                <w:color w:val="000000"/>
                <w:szCs w:val="24"/>
              </w:rPr>
            </w:pPr>
            <w:r w:rsidRPr="003641BB">
              <w:rPr>
                <w:rFonts w:ascii="Calibri" w:eastAsia="Calibri" w:hAnsi="Calibri" w:cs="Times New Roman"/>
                <w:b/>
                <w:bCs/>
                <w:color w:val="000000"/>
                <w:szCs w:val="24"/>
              </w:rPr>
              <w:t>RATINGS INTERPRETATION FOR CREDIT</w:t>
            </w:r>
          </w:p>
        </w:tc>
      </w:tr>
      <w:tr w:rsidR="003641BB" w:rsidRPr="003641BB" w14:paraId="4F9FC08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4AF96CF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Aaa</w:t>
            </w:r>
          </w:p>
        </w:tc>
        <w:tc>
          <w:tcPr>
            <w:tcW w:w="728" w:type="dxa"/>
            <w:tcBorders>
              <w:top w:val="nil"/>
              <w:left w:val="nil"/>
              <w:bottom w:val="single" w:sz="4" w:space="0" w:color="auto"/>
              <w:right w:val="single" w:sz="4" w:space="0" w:color="auto"/>
            </w:tcBorders>
            <w:shd w:val="clear" w:color="000000" w:fill="FFFFFF"/>
            <w:noWrap/>
            <w:vAlign w:val="bottom"/>
            <w:hideMark/>
          </w:tcPr>
          <w:p w14:paraId="5DD5995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AAA</w:t>
            </w:r>
          </w:p>
        </w:tc>
        <w:tc>
          <w:tcPr>
            <w:tcW w:w="788" w:type="dxa"/>
            <w:tcBorders>
              <w:top w:val="nil"/>
              <w:left w:val="nil"/>
              <w:bottom w:val="single" w:sz="4" w:space="0" w:color="auto"/>
              <w:right w:val="single" w:sz="4" w:space="0" w:color="auto"/>
            </w:tcBorders>
            <w:shd w:val="clear" w:color="000000" w:fill="FFFFFF"/>
            <w:noWrap/>
            <w:vAlign w:val="bottom"/>
            <w:hideMark/>
          </w:tcPr>
          <w:p w14:paraId="666984F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AAA</w:t>
            </w:r>
          </w:p>
        </w:tc>
        <w:tc>
          <w:tcPr>
            <w:tcW w:w="4289" w:type="dxa"/>
            <w:tcBorders>
              <w:top w:val="nil"/>
              <w:left w:val="nil"/>
              <w:bottom w:val="single" w:sz="4" w:space="0" w:color="auto"/>
              <w:right w:val="single" w:sz="4" w:space="0" w:color="auto"/>
            </w:tcBorders>
            <w:shd w:val="clear" w:color="000000" w:fill="FFFFFF"/>
            <w:noWrap/>
            <w:vAlign w:val="center"/>
            <w:hideMark/>
          </w:tcPr>
          <w:p w14:paraId="791FAF9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STRONGEST QUALITY</w:t>
            </w:r>
          </w:p>
        </w:tc>
      </w:tr>
      <w:tr w:rsidR="003641BB" w:rsidRPr="003641BB" w14:paraId="5AC30087"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3EA97C9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Aa1</w:t>
            </w:r>
          </w:p>
        </w:tc>
        <w:tc>
          <w:tcPr>
            <w:tcW w:w="728" w:type="dxa"/>
            <w:tcBorders>
              <w:top w:val="nil"/>
              <w:left w:val="nil"/>
              <w:bottom w:val="single" w:sz="4" w:space="0" w:color="auto"/>
              <w:right w:val="single" w:sz="4" w:space="0" w:color="auto"/>
            </w:tcBorders>
            <w:shd w:val="clear" w:color="000000" w:fill="FFFFFF"/>
            <w:noWrap/>
            <w:vAlign w:val="bottom"/>
            <w:hideMark/>
          </w:tcPr>
          <w:p w14:paraId="071E8C20"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w:t>
            </w:r>
          </w:p>
        </w:tc>
        <w:tc>
          <w:tcPr>
            <w:tcW w:w="788" w:type="dxa"/>
            <w:tcBorders>
              <w:top w:val="nil"/>
              <w:left w:val="nil"/>
              <w:bottom w:val="single" w:sz="4" w:space="0" w:color="auto"/>
              <w:right w:val="single" w:sz="4" w:space="0" w:color="auto"/>
            </w:tcBorders>
            <w:shd w:val="clear" w:color="000000" w:fill="FFFFFF"/>
            <w:noWrap/>
            <w:vAlign w:val="bottom"/>
            <w:hideMark/>
          </w:tcPr>
          <w:p w14:paraId="39F2491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w:t>
            </w:r>
          </w:p>
        </w:tc>
        <w:tc>
          <w:tcPr>
            <w:tcW w:w="42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EBE528"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STRONG QUALITY</w:t>
            </w:r>
          </w:p>
        </w:tc>
      </w:tr>
      <w:tr w:rsidR="003641BB" w:rsidRPr="003641BB" w14:paraId="3D3C8EFF"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05F8227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Aa2</w:t>
            </w:r>
          </w:p>
        </w:tc>
        <w:tc>
          <w:tcPr>
            <w:tcW w:w="728" w:type="dxa"/>
            <w:tcBorders>
              <w:top w:val="nil"/>
              <w:left w:val="nil"/>
              <w:bottom w:val="single" w:sz="4" w:space="0" w:color="auto"/>
              <w:right w:val="single" w:sz="4" w:space="0" w:color="auto"/>
            </w:tcBorders>
            <w:shd w:val="clear" w:color="000000" w:fill="FFFFFF"/>
            <w:noWrap/>
            <w:vAlign w:val="bottom"/>
            <w:hideMark/>
          </w:tcPr>
          <w:p w14:paraId="1B4E3C5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w:t>
            </w:r>
          </w:p>
        </w:tc>
        <w:tc>
          <w:tcPr>
            <w:tcW w:w="788" w:type="dxa"/>
            <w:tcBorders>
              <w:top w:val="nil"/>
              <w:left w:val="nil"/>
              <w:bottom w:val="single" w:sz="4" w:space="0" w:color="auto"/>
              <w:right w:val="single" w:sz="4" w:space="0" w:color="auto"/>
            </w:tcBorders>
            <w:shd w:val="clear" w:color="000000" w:fill="FFFFFF"/>
            <w:noWrap/>
            <w:vAlign w:val="bottom"/>
            <w:hideMark/>
          </w:tcPr>
          <w:p w14:paraId="236EAA88"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w:t>
            </w:r>
          </w:p>
        </w:tc>
        <w:tc>
          <w:tcPr>
            <w:tcW w:w="4289" w:type="dxa"/>
            <w:vMerge/>
            <w:tcBorders>
              <w:top w:val="nil"/>
              <w:left w:val="single" w:sz="4" w:space="0" w:color="auto"/>
              <w:bottom w:val="single" w:sz="4" w:space="0" w:color="auto"/>
              <w:right w:val="single" w:sz="4" w:space="0" w:color="auto"/>
            </w:tcBorders>
            <w:vAlign w:val="center"/>
            <w:hideMark/>
          </w:tcPr>
          <w:p w14:paraId="6790E8B6"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20444914"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5746904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Aa3</w:t>
            </w:r>
          </w:p>
        </w:tc>
        <w:tc>
          <w:tcPr>
            <w:tcW w:w="728" w:type="dxa"/>
            <w:tcBorders>
              <w:top w:val="nil"/>
              <w:left w:val="nil"/>
              <w:bottom w:val="single" w:sz="4" w:space="0" w:color="auto"/>
              <w:right w:val="single" w:sz="4" w:space="0" w:color="auto"/>
            </w:tcBorders>
            <w:shd w:val="clear" w:color="000000" w:fill="FFFFFF"/>
            <w:noWrap/>
            <w:vAlign w:val="bottom"/>
            <w:hideMark/>
          </w:tcPr>
          <w:p w14:paraId="491A8E46"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w:t>
            </w:r>
          </w:p>
        </w:tc>
        <w:tc>
          <w:tcPr>
            <w:tcW w:w="788" w:type="dxa"/>
            <w:tcBorders>
              <w:top w:val="nil"/>
              <w:left w:val="nil"/>
              <w:bottom w:val="single" w:sz="4" w:space="0" w:color="auto"/>
              <w:right w:val="single" w:sz="4" w:space="0" w:color="auto"/>
            </w:tcBorders>
            <w:shd w:val="clear" w:color="000000" w:fill="FFFFFF"/>
            <w:noWrap/>
            <w:vAlign w:val="bottom"/>
            <w:hideMark/>
          </w:tcPr>
          <w:p w14:paraId="1AD0E507"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AA-</w:t>
            </w:r>
          </w:p>
        </w:tc>
        <w:tc>
          <w:tcPr>
            <w:tcW w:w="4289" w:type="dxa"/>
            <w:vMerge/>
            <w:tcBorders>
              <w:top w:val="nil"/>
              <w:left w:val="single" w:sz="4" w:space="0" w:color="auto"/>
              <w:bottom w:val="single" w:sz="4" w:space="0" w:color="auto"/>
              <w:right w:val="single" w:sz="4" w:space="0" w:color="auto"/>
            </w:tcBorders>
            <w:vAlign w:val="center"/>
            <w:hideMark/>
          </w:tcPr>
          <w:p w14:paraId="5AEF0FF6"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6358EB49"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76B44FA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A1</w:t>
            </w:r>
          </w:p>
        </w:tc>
        <w:tc>
          <w:tcPr>
            <w:tcW w:w="728" w:type="dxa"/>
            <w:tcBorders>
              <w:top w:val="nil"/>
              <w:left w:val="nil"/>
              <w:bottom w:val="single" w:sz="4" w:space="0" w:color="auto"/>
              <w:right w:val="single" w:sz="4" w:space="0" w:color="auto"/>
            </w:tcBorders>
            <w:shd w:val="clear" w:color="000000" w:fill="FFFFFF"/>
            <w:noWrap/>
            <w:vAlign w:val="bottom"/>
            <w:hideMark/>
          </w:tcPr>
          <w:p w14:paraId="7E603C70"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w:t>
            </w:r>
          </w:p>
        </w:tc>
        <w:tc>
          <w:tcPr>
            <w:tcW w:w="788" w:type="dxa"/>
            <w:tcBorders>
              <w:top w:val="nil"/>
              <w:left w:val="nil"/>
              <w:bottom w:val="single" w:sz="4" w:space="0" w:color="auto"/>
              <w:right w:val="single" w:sz="4" w:space="0" w:color="auto"/>
            </w:tcBorders>
            <w:shd w:val="clear" w:color="000000" w:fill="FFFFFF"/>
            <w:noWrap/>
            <w:vAlign w:val="bottom"/>
            <w:hideMark/>
          </w:tcPr>
          <w:p w14:paraId="4CFB8A40"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w:t>
            </w:r>
          </w:p>
        </w:tc>
        <w:tc>
          <w:tcPr>
            <w:tcW w:w="42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8F392F0"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GOOD QUALITY</w:t>
            </w:r>
          </w:p>
        </w:tc>
      </w:tr>
      <w:tr w:rsidR="003641BB" w:rsidRPr="003641BB" w14:paraId="1BEB750E"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65473126"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A2</w:t>
            </w:r>
          </w:p>
        </w:tc>
        <w:tc>
          <w:tcPr>
            <w:tcW w:w="728" w:type="dxa"/>
            <w:tcBorders>
              <w:top w:val="nil"/>
              <w:left w:val="nil"/>
              <w:bottom w:val="single" w:sz="4" w:space="0" w:color="auto"/>
              <w:right w:val="single" w:sz="4" w:space="0" w:color="auto"/>
            </w:tcBorders>
            <w:shd w:val="clear" w:color="000000" w:fill="FFFFFF"/>
            <w:noWrap/>
            <w:vAlign w:val="bottom"/>
            <w:hideMark/>
          </w:tcPr>
          <w:p w14:paraId="773572A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w:t>
            </w:r>
          </w:p>
        </w:tc>
        <w:tc>
          <w:tcPr>
            <w:tcW w:w="788" w:type="dxa"/>
            <w:tcBorders>
              <w:top w:val="nil"/>
              <w:left w:val="nil"/>
              <w:bottom w:val="single" w:sz="4" w:space="0" w:color="auto"/>
              <w:right w:val="single" w:sz="4" w:space="0" w:color="auto"/>
            </w:tcBorders>
            <w:shd w:val="clear" w:color="000000" w:fill="FFFFFF"/>
            <w:noWrap/>
            <w:vAlign w:val="bottom"/>
            <w:hideMark/>
          </w:tcPr>
          <w:p w14:paraId="587BF6B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w:t>
            </w:r>
          </w:p>
        </w:tc>
        <w:tc>
          <w:tcPr>
            <w:tcW w:w="4289" w:type="dxa"/>
            <w:vMerge/>
            <w:tcBorders>
              <w:top w:val="nil"/>
              <w:left w:val="single" w:sz="4" w:space="0" w:color="auto"/>
              <w:bottom w:val="single" w:sz="4" w:space="0" w:color="auto"/>
              <w:right w:val="single" w:sz="4" w:space="0" w:color="auto"/>
            </w:tcBorders>
            <w:vAlign w:val="center"/>
            <w:hideMark/>
          </w:tcPr>
          <w:p w14:paraId="26B57F90"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36BFF832"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32F66757"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A3</w:t>
            </w:r>
          </w:p>
        </w:tc>
        <w:tc>
          <w:tcPr>
            <w:tcW w:w="728" w:type="dxa"/>
            <w:tcBorders>
              <w:top w:val="nil"/>
              <w:left w:val="nil"/>
              <w:bottom w:val="single" w:sz="4" w:space="0" w:color="auto"/>
              <w:right w:val="single" w:sz="4" w:space="0" w:color="auto"/>
            </w:tcBorders>
            <w:shd w:val="clear" w:color="000000" w:fill="FFFFFF"/>
            <w:noWrap/>
            <w:vAlign w:val="bottom"/>
            <w:hideMark/>
          </w:tcPr>
          <w:p w14:paraId="31E7327F"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w:t>
            </w:r>
          </w:p>
        </w:tc>
        <w:tc>
          <w:tcPr>
            <w:tcW w:w="788" w:type="dxa"/>
            <w:tcBorders>
              <w:top w:val="nil"/>
              <w:left w:val="nil"/>
              <w:bottom w:val="single" w:sz="4" w:space="0" w:color="auto"/>
              <w:right w:val="single" w:sz="4" w:space="0" w:color="auto"/>
            </w:tcBorders>
            <w:shd w:val="clear" w:color="000000" w:fill="FFFFFF"/>
            <w:noWrap/>
            <w:vAlign w:val="bottom"/>
            <w:hideMark/>
          </w:tcPr>
          <w:p w14:paraId="0D890D5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A-</w:t>
            </w:r>
          </w:p>
        </w:tc>
        <w:tc>
          <w:tcPr>
            <w:tcW w:w="4289" w:type="dxa"/>
            <w:vMerge/>
            <w:tcBorders>
              <w:top w:val="nil"/>
              <w:left w:val="single" w:sz="4" w:space="0" w:color="auto"/>
              <w:bottom w:val="single" w:sz="4" w:space="0" w:color="auto"/>
              <w:right w:val="single" w:sz="4" w:space="0" w:color="auto"/>
            </w:tcBorders>
            <w:vAlign w:val="center"/>
            <w:hideMark/>
          </w:tcPr>
          <w:p w14:paraId="5DD1052A"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7D40E16B"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7DA16B21"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Baa1</w:t>
            </w:r>
          </w:p>
        </w:tc>
        <w:tc>
          <w:tcPr>
            <w:tcW w:w="728" w:type="dxa"/>
            <w:tcBorders>
              <w:top w:val="nil"/>
              <w:left w:val="nil"/>
              <w:bottom w:val="single" w:sz="4" w:space="0" w:color="auto"/>
              <w:right w:val="single" w:sz="4" w:space="0" w:color="auto"/>
            </w:tcBorders>
            <w:shd w:val="clear" w:color="000000" w:fill="FFFFFF"/>
            <w:noWrap/>
            <w:vAlign w:val="bottom"/>
            <w:hideMark/>
          </w:tcPr>
          <w:p w14:paraId="3497D071"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BBB+</w:t>
            </w:r>
          </w:p>
        </w:tc>
        <w:tc>
          <w:tcPr>
            <w:tcW w:w="788" w:type="dxa"/>
            <w:tcBorders>
              <w:top w:val="nil"/>
              <w:left w:val="nil"/>
              <w:bottom w:val="single" w:sz="4" w:space="0" w:color="auto"/>
              <w:right w:val="single" w:sz="4" w:space="0" w:color="auto"/>
            </w:tcBorders>
            <w:shd w:val="clear" w:color="000000" w:fill="FFFFFF"/>
            <w:noWrap/>
            <w:vAlign w:val="bottom"/>
            <w:hideMark/>
          </w:tcPr>
          <w:p w14:paraId="3F2457D7"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BBB+</w:t>
            </w:r>
          </w:p>
        </w:tc>
        <w:tc>
          <w:tcPr>
            <w:tcW w:w="42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4AB64F"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MEDIUM QUALITY</w:t>
            </w:r>
          </w:p>
        </w:tc>
      </w:tr>
      <w:tr w:rsidR="003641BB" w:rsidRPr="003641BB" w14:paraId="246B86C2"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3D14B54A"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Baa2</w:t>
            </w:r>
          </w:p>
        </w:tc>
        <w:tc>
          <w:tcPr>
            <w:tcW w:w="728" w:type="dxa"/>
            <w:tcBorders>
              <w:top w:val="nil"/>
              <w:left w:val="nil"/>
              <w:bottom w:val="single" w:sz="4" w:space="0" w:color="auto"/>
              <w:right w:val="single" w:sz="4" w:space="0" w:color="auto"/>
            </w:tcBorders>
            <w:shd w:val="clear" w:color="000000" w:fill="FFFFFF"/>
            <w:noWrap/>
            <w:vAlign w:val="bottom"/>
            <w:hideMark/>
          </w:tcPr>
          <w:p w14:paraId="5E7BB59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BBB</w:t>
            </w:r>
          </w:p>
        </w:tc>
        <w:tc>
          <w:tcPr>
            <w:tcW w:w="788" w:type="dxa"/>
            <w:tcBorders>
              <w:top w:val="nil"/>
              <w:left w:val="nil"/>
              <w:bottom w:val="single" w:sz="4" w:space="0" w:color="auto"/>
              <w:right w:val="single" w:sz="4" w:space="0" w:color="auto"/>
            </w:tcBorders>
            <w:shd w:val="clear" w:color="000000" w:fill="FFFFFF"/>
            <w:noWrap/>
            <w:vAlign w:val="bottom"/>
            <w:hideMark/>
          </w:tcPr>
          <w:p w14:paraId="4AF35127"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BBB</w:t>
            </w:r>
          </w:p>
        </w:tc>
        <w:tc>
          <w:tcPr>
            <w:tcW w:w="4289" w:type="dxa"/>
            <w:vMerge/>
            <w:tcBorders>
              <w:top w:val="nil"/>
              <w:left w:val="single" w:sz="4" w:space="0" w:color="auto"/>
              <w:bottom w:val="single" w:sz="4" w:space="0" w:color="auto"/>
              <w:right w:val="single" w:sz="4" w:space="0" w:color="auto"/>
            </w:tcBorders>
            <w:vAlign w:val="center"/>
            <w:hideMark/>
          </w:tcPr>
          <w:p w14:paraId="737D2E70"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5AF94F42"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4C1D94E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Baa3</w:t>
            </w:r>
          </w:p>
        </w:tc>
        <w:tc>
          <w:tcPr>
            <w:tcW w:w="728" w:type="dxa"/>
            <w:tcBorders>
              <w:top w:val="nil"/>
              <w:left w:val="nil"/>
              <w:bottom w:val="single" w:sz="4" w:space="0" w:color="auto"/>
              <w:right w:val="single" w:sz="4" w:space="0" w:color="auto"/>
            </w:tcBorders>
            <w:shd w:val="clear" w:color="000000" w:fill="FFFFFF"/>
            <w:noWrap/>
            <w:vAlign w:val="bottom"/>
            <w:hideMark/>
          </w:tcPr>
          <w:p w14:paraId="25E6F069"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BBB-</w:t>
            </w:r>
          </w:p>
        </w:tc>
        <w:tc>
          <w:tcPr>
            <w:tcW w:w="788" w:type="dxa"/>
            <w:tcBorders>
              <w:top w:val="nil"/>
              <w:left w:val="nil"/>
              <w:bottom w:val="single" w:sz="4" w:space="0" w:color="auto"/>
              <w:right w:val="single" w:sz="4" w:space="0" w:color="auto"/>
            </w:tcBorders>
            <w:shd w:val="clear" w:color="000000" w:fill="FFFFFF"/>
            <w:noWrap/>
            <w:vAlign w:val="bottom"/>
            <w:hideMark/>
          </w:tcPr>
          <w:p w14:paraId="27A1BB58"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BBB-</w:t>
            </w:r>
          </w:p>
        </w:tc>
        <w:tc>
          <w:tcPr>
            <w:tcW w:w="4289" w:type="dxa"/>
            <w:vMerge/>
            <w:tcBorders>
              <w:top w:val="nil"/>
              <w:left w:val="single" w:sz="4" w:space="0" w:color="auto"/>
              <w:bottom w:val="single" w:sz="4" w:space="0" w:color="auto"/>
              <w:right w:val="single" w:sz="4" w:space="0" w:color="auto"/>
            </w:tcBorders>
            <w:vAlign w:val="center"/>
            <w:hideMark/>
          </w:tcPr>
          <w:p w14:paraId="029CF896"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3220723F"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29627CB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Ba1</w:t>
            </w:r>
          </w:p>
        </w:tc>
        <w:tc>
          <w:tcPr>
            <w:tcW w:w="728" w:type="dxa"/>
            <w:tcBorders>
              <w:top w:val="nil"/>
              <w:left w:val="nil"/>
              <w:bottom w:val="single" w:sz="4" w:space="0" w:color="auto"/>
              <w:right w:val="single" w:sz="4" w:space="0" w:color="auto"/>
            </w:tcBorders>
            <w:shd w:val="clear" w:color="000000" w:fill="FFFFFF"/>
            <w:noWrap/>
            <w:vAlign w:val="bottom"/>
            <w:hideMark/>
          </w:tcPr>
          <w:p w14:paraId="4257F60A"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w:t>
            </w:r>
          </w:p>
        </w:tc>
        <w:tc>
          <w:tcPr>
            <w:tcW w:w="788" w:type="dxa"/>
            <w:tcBorders>
              <w:top w:val="nil"/>
              <w:left w:val="nil"/>
              <w:bottom w:val="single" w:sz="4" w:space="0" w:color="auto"/>
              <w:right w:val="single" w:sz="4" w:space="0" w:color="auto"/>
            </w:tcBorders>
            <w:shd w:val="clear" w:color="000000" w:fill="FFFFFF"/>
            <w:noWrap/>
            <w:vAlign w:val="bottom"/>
            <w:hideMark/>
          </w:tcPr>
          <w:p w14:paraId="4386AAE2"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w:t>
            </w:r>
          </w:p>
        </w:tc>
        <w:tc>
          <w:tcPr>
            <w:tcW w:w="42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56845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SPECULATIVE</w:t>
            </w:r>
          </w:p>
        </w:tc>
      </w:tr>
      <w:tr w:rsidR="003641BB" w:rsidRPr="003641BB" w14:paraId="51D21640"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21CBB6E7"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Ba2</w:t>
            </w:r>
          </w:p>
        </w:tc>
        <w:tc>
          <w:tcPr>
            <w:tcW w:w="728" w:type="dxa"/>
            <w:tcBorders>
              <w:top w:val="nil"/>
              <w:left w:val="nil"/>
              <w:bottom w:val="single" w:sz="4" w:space="0" w:color="auto"/>
              <w:right w:val="single" w:sz="4" w:space="0" w:color="auto"/>
            </w:tcBorders>
            <w:shd w:val="clear" w:color="000000" w:fill="FFFFFF"/>
            <w:noWrap/>
            <w:vAlign w:val="bottom"/>
            <w:hideMark/>
          </w:tcPr>
          <w:p w14:paraId="1F34717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w:t>
            </w:r>
          </w:p>
        </w:tc>
        <w:tc>
          <w:tcPr>
            <w:tcW w:w="788" w:type="dxa"/>
            <w:tcBorders>
              <w:top w:val="nil"/>
              <w:left w:val="nil"/>
              <w:bottom w:val="single" w:sz="4" w:space="0" w:color="auto"/>
              <w:right w:val="single" w:sz="4" w:space="0" w:color="auto"/>
            </w:tcBorders>
            <w:shd w:val="clear" w:color="000000" w:fill="FFFFFF"/>
            <w:noWrap/>
            <w:vAlign w:val="bottom"/>
            <w:hideMark/>
          </w:tcPr>
          <w:p w14:paraId="39F2C3B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w:t>
            </w:r>
          </w:p>
        </w:tc>
        <w:tc>
          <w:tcPr>
            <w:tcW w:w="4289" w:type="dxa"/>
            <w:vMerge/>
            <w:tcBorders>
              <w:top w:val="nil"/>
              <w:left w:val="single" w:sz="4" w:space="0" w:color="auto"/>
              <w:bottom w:val="single" w:sz="4" w:space="0" w:color="auto"/>
              <w:right w:val="single" w:sz="4" w:space="0" w:color="auto"/>
            </w:tcBorders>
            <w:vAlign w:val="center"/>
            <w:hideMark/>
          </w:tcPr>
          <w:p w14:paraId="314C291D"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6B482D48"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03AC717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Ba3</w:t>
            </w:r>
          </w:p>
        </w:tc>
        <w:tc>
          <w:tcPr>
            <w:tcW w:w="728" w:type="dxa"/>
            <w:tcBorders>
              <w:top w:val="nil"/>
              <w:left w:val="nil"/>
              <w:bottom w:val="single" w:sz="4" w:space="0" w:color="auto"/>
              <w:right w:val="single" w:sz="4" w:space="0" w:color="auto"/>
            </w:tcBorders>
            <w:shd w:val="clear" w:color="000000" w:fill="FFFFFF"/>
            <w:noWrap/>
            <w:vAlign w:val="bottom"/>
            <w:hideMark/>
          </w:tcPr>
          <w:p w14:paraId="098A92E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w:t>
            </w:r>
          </w:p>
        </w:tc>
        <w:tc>
          <w:tcPr>
            <w:tcW w:w="788" w:type="dxa"/>
            <w:tcBorders>
              <w:top w:val="nil"/>
              <w:left w:val="nil"/>
              <w:bottom w:val="single" w:sz="4" w:space="0" w:color="auto"/>
              <w:right w:val="single" w:sz="4" w:space="0" w:color="auto"/>
            </w:tcBorders>
            <w:shd w:val="clear" w:color="000000" w:fill="FFFFFF"/>
            <w:noWrap/>
            <w:vAlign w:val="bottom"/>
            <w:hideMark/>
          </w:tcPr>
          <w:p w14:paraId="2431FD70"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BB-</w:t>
            </w:r>
          </w:p>
        </w:tc>
        <w:tc>
          <w:tcPr>
            <w:tcW w:w="4289" w:type="dxa"/>
            <w:vMerge/>
            <w:tcBorders>
              <w:top w:val="nil"/>
              <w:left w:val="single" w:sz="4" w:space="0" w:color="auto"/>
              <w:bottom w:val="single" w:sz="4" w:space="0" w:color="auto"/>
              <w:right w:val="single" w:sz="4" w:space="0" w:color="auto"/>
            </w:tcBorders>
            <w:vAlign w:val="center"/>
            <w:hideMark/>
          </w:tcPr>
          <w:p w14:paraId="2CD4658A"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13956A9A"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4AFE0E4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B1</w:t>
            </w:r>
          </w:p>
        </w:tc>
        <w:tc>
          <w:tcPr>
            <w:tcW w:w="728" w:type="dxa"/>
            <w:tcBorders>
              <w:top w:val="nil"/>
              <w:left w:val="nil"/>
              <w:bottom w:val="single" w:sz="4" w:space="0" w:color="auto"/>
              <w:right w:val="single" w:sz="4" w:space="0" w:color="auto"/>
            </w:tcBorders>
            <w:shd w:val="clear" w:color="000000" w:fill="FFFFFF"/>
            <w:noWrap/>
            <w:vAlign w:val="bottom"/>
            <w:hideMark/>
          </w:tcPr>
          <w:p w14:paraId="0F779696"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w:t>
            </w:r>
          </w:p>
        </w:tc>
        <w:tc>
          <w:tcPr>
            <w:tcW w:w="788" w:type="dxa"/>
            <w:tcBorders>
              <w:top w:val="nil"/>
              <w:left w:val="nil"/>
              <w:bottom w:val="single" w:sz="4" w:space="0" w:color="auto"/>
              <w:right w:val="single" w:sz="4" w:space="0" w:color="auto"/>
            </w:tcBorders>
            <w:shd w:val="clear" w:color="000000" w:fill="FFFFFF"/>
            <w:noWrap/>
            <w:vAlign w:val="bottom"/>
            <w:hideMark/>
          </w:tcPr>
          <w:p w14:paraId="79D8C092"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w:t>
            </w:r>
          </w:p>
        </w:tc>
        <w:tc>
          <w:tcPr>
            <w:tcW w:w="42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B60973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LOW</w:t>
            </w:r>
          </w:p>
        </w:tc>
      </w:tr>
      <w:tr w:rsidR="003641BB" w:rsidRPr="003641BB" w14:paraId="5404D59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66275F1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B2</w:t>
            </w:r>
          </w:p>
        </w:tc>
        <w:tc>
          <w:tcPr>
            <w:tcW w:w="728" w:type="dxa"/>
            <w:tcBorders>
              <w:top w:val="nil"/>
              <w:left w:val="nil"/>
              <w:bottom w:val="single" w:sz="4" w:space="0" w:color="auto"/>
              <w:right w:val="single" w:sz="4" w:space="0" w:color="auto"/>
            </w:tcBorders>
            <w:shd w:val="clear" w:color="000000" w:fill="FFFFFF"/>
            <w:noWrap/>
            <w:vAlign w:val="bottom"/>
            <w:hideMark/>
          </w:tcPr>
          <w:p w14:paraId="0F774089"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w:t>
            </w:r>
          </w:p>
        </w:tc>
        <w:tc>
          <w:tcPr>
            <w:tcW w:w="788" w:type="dxa"/>
            <w:tcBorders>
              <w:top w:val="nil"/>
              <w:left w:val="nil"/>
              <w:bottom w:val="single" w:sz="4" w:space="0" w:color="auto"/>
              <w:right w:val="single" w:sz="4" w:space="0" w:color="auto"/>
            </w:tcBorders>
            <w:shd w:val="clear" w:color="000000" w:fill="FFFFFF"/>
            <w:noWrap/>
            <w:vAlign w:val="bottom"/>
            <w:hideMark/>
          </w:tcPr>
          <w:p w14:paraId="6CF37912"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w:t>
            </w:r>
          </w:p>
        </w:tc>
        <w:tc>
          <w:tcPr>
            <w:tcW w:w="4289" w:type="dxa"/>
            <w:vMerge/>
            <w:tcBorders>
              <w:top w:val="nil"/>
              <w:left w:val="single" w:sz="4" w:space="0" w:color="auto"/>
              <w:bottom w:val="single" w:sz="4" w:space="0" w:color="auto"/>
              <w:right w:val="single" w:sz="4" w:space="0" w:color="auto"/>
            </w:tcBorders>
            <w:vAlign w:val="center"/>
            <w:hideMark/>
          </w:tcPr>
          <w:p w14:paraId="5378954F"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6B1166B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5882A5D2"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B3</w:t>
            </w:r>
          </w:p>
        </w:tc>
        <w:tc>
          <w:tcPr>
            <w:tcW w:w="728" w:type="dxa"/>
            <w:tcBorders>
              <w:top w:val="nil"/>
              <w:left w:val="nil"/>
              <w:bottom w:val="single" w:sz="4" w:space="0" w:color="auto"/>
              <w:right w:val="single" w:sz="4" w:space="0" w:color="auto"/>
            </w:tcBorders>
            <w:shd w:val="clear" w:color="000000" w:fill="FFFFFF"/>
            <w:noWrap/>
            <w:vAlign w:val="bottom"/>
            <w:hideMark/>
          </w:tcPr>
          <w:p w14:paraId="27204A5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w:t>
            </w:r>
          </w:p>
        </w:tc>
        <w:tc>
          <w:tcPr>
            <w:tcW w:w="788" w:type="dxa"/>
            <w:tcBorders>
              <w:top w:val="nil"/>
              <w:left w:val="nil"/>
              <w:bottom w:val="single" w:sz="4" w:space="0" w:color="auto"/>
              <w:right w:val="single" w:sz="4" w:space="0" w:color="auto"/>
            </w:tcBorders>
            <w:shd w:val="clear" w:color="000000" w:fill="FFFFFF"/>
            <w:noWrap/>
            <w:vAlign w:val="bottom"/>
            <w:hideMark/>
          </w:tcPr>
          <w:p w14:paraId="1CD00E3F"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B-</w:t>
            </w:r>
          </w:p>
        </w:tc>
        <w:tc>
          <w:tcPr>
            <w:tcW w:w="4289" w:type="dxa"/>
            <w:vMerge/>
            <w:tcBorders>
              <w:top w:val="nil"/>
              <w:left w:val="single" w:sz="4" w:space="0" w:color="auto"/>
              <w:bottom w:val="single" w:sz="4" w:space="0" w:color="auto"/>
              <w:right w:val="single" w:sz="4" w:space="0" w:color="auto"/>
            </w:tcBorders>
            <w:vAlign w:val="center"/>
            <w:hideMark/>
          </w:tcPr>
          <w:p w14:paraId="74BF5449"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3D9A10B7"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159E2711" w14:textId="77777777" w:rsidR="003641BB" w:rsidRPr="003641BB" w:rsidRDefault="003641BB" w:rsidP="003641BB">
            <w:pPr>
              <w:spacing w:after="0" w:line="240" w:lineRule="auto"/>
              <w:jc w:val="center"/>
              <w:rPr>
                <w:rFonts w:ascii="Calibri" w:eastAsia="Calibri" w:hAnsi="Calibri" w:cs="Times New Roman"/>
                <w:color w:val="000000"/>
                <w:szCs w:val="24"/>
              </w:rPr>
            </w:pPr>
            <w:proofErr w:type="spellStart"/>
            <w:r w:rsidRPr="003641BB">
              <w:rPr>
                <w:rFonts w:ascii="Calibri" w:eastAsia="Calibri" w:hAnsi="Calibri" w:cs="Times New Roman"/>
                <w:color w:val="000000"/>
                <w:szCs w:val="24"/>
              </w:rPr>
              <w:t>Caa</w:t>
            </w:r>
            <w:proofErr w:type="spellEnd"/>
          </w:p>
        </w:tc>
        <w:tc>
          <w:tcPr>
            <w:tcW w:w="728" w:type="dxa"/>
            <w:tcBorders>
              <w:top w:val="nil"/>
              <w:left w:val="nil"/>
              <w:bottom w:val="single" w:sz="4" w:space="0" w:color="auto"/>
              <w:right w:val="single" w:sz="4" w:space="0" w:color="auto"/>
            </w:tcBorders>
            <w:shd w:val="clear" w:color="000000" w:fill="FFFFFF"/>
            <w:noWrap/>
            <w:vAlign w:val="bottom"/>
            <w:hideMark/>
          </w:tcPr>
          <w:p w14:paraId="6F4D6DA5"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CCC+</w:t>
            </w:r>
          </w:p>
        </w:tc>
        <w:tc>
          <w:tcPr>
            <w:tcW w:w="788" w:type="dxa"/>
            <w:tcBorders>
              <w:top w:val="nil"/>
              <w:left w:val="nil"/>
              <w:bottom w:val="single" w:sz="4" w:space="0" w:color="auto"/>
              <w:right w:val="single" w:sz="4" w:space="0" w:color="auto"/>
            </w:tcBorders>
            <w:shd w:val="clear" w:color="000000" w:fill="FFFFFF"/>
            <w:noWrap/>
            <w:vAlign w:val="bottom"/>
            <w:hideMark/>
          </w:tcPr>
          <w:p w14:paraId="0874552C"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CCC</w:t>
            </w:r>
          </w:p>
        </w:tc>
        <w:tc>
          <w:tcPr>
            <w:tcW w:w="4289" w:type="dxa"/>
            <w:tcBorders>
              <w:top w:val="nil"/>
              <w:left w:val="nil"/>
              <w:bottom w:val="single" w:sz="4" w:space="0" w:color="auto"/>
              <w:right w:val="single" w:sz="4" w:space="0" w:color="auto"/>
            </w:tcBorders>
            <w:shd w:val="clear" w:color="000000" w:fill="FFFFFF"/>
            <w:noWrap/>
            <w:vAlign w:val="center"/>
            <w:hideMark/>
          </w:tcPr>
          <w:p w14:paraId="71F420C5"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POOR</w:t>
            </w:r>
          </w:p>
        </w:tc>
      </w:tr>
      <w:tr w:rsidR="003641BB" w:rsidRPr="003641BB" w14:paraId="5EB8B648"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5A800CBA"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28" w:type="dxa"/>
            <w:tcBorders>
              <w:top w:val="nil"/>
              <w:left w:val="nil"/>
              <w:bottom w:val="single" w:sz="4" w:space="0" w:color="auto"/>
              <w:right w:val="single" w:sz="4" w:space="0" w:color="auto"/>
            </w:tcBorders>
            <w:shd w:val="clear" w:color="000000" w:fill="FFFFFF"/>
            <w:noWrap/>
            <w:vAlign w:val="bottom"/>
            <w:hideMark/>
          </w:tcPr>
          <w:p w14:paraId="7D752A0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CCC</w:t>
            </w:r>
          </w:p>
        </w:tc>
        <w:tc>
          <w:tcPr>
            <w:tcW w:w="788" w:type="dxa"/>
            <w:tcBorders>
              <w:top w:val="nil"/>
              <w:left w:val="nil"/>
              <w:bottom w:val="single" w:sz="4" w:space="0" w:color="auto"/>
              <w:right w:val="single" w:sz="4" w:space="0" w:color="auto"/>
            </w:tcBorders>
            <w:shd w:val="clear" w:color="000000" w:fill="FFFFFF"/>
            <w:noWrap/>
            <w:vAlign w:val="bottom"/>
            <w:hideMark/>
          </w:tcPr>
          <w:p w14:paraId="12D9AB41"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42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8BA15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HIGHLY SPECULATIVE TO DEFAULT</w:t>
            </w:r>
          </w:p>
        </w:tc>
      </w:tr>
      <w:tr w:rsidR="003641BB" w:rsidRPr="003641BB" w14:paraId="4AAE21AB"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6F35CCC8"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28" w:type="dxa"/>
            <w:tcBorders>
              <w:top w:val="nil"/>
              <w:left w:val="nil"/>
              <w:bottom w:val="single" w:sz="4" w:space="0" w:color="auto"/>
              <w:right w:val="single" w:sz="4" w:space="0" w:color="auto"/>
            </w:tcBorders>
            <w:shd w:val="clear" w:color="000000" w:fill="FFFFFF"/>
            <w:noWrap/>
            <w:vAlign w:val="bottom"/>
            <w:hideMark/>
          </w:tcPr>
          <w:p w14:paraId="7DFE12AF"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CCC-</w:t>
            </w:r>
          </w:p>
        </w:tc>
        <w:tc>
          <w:tcPr>
            <w:tcW w:w="788" w:type="dxa"/>
            <w:tcBorders>
              <w:top w:val="nil"/>
              <w:left w:val="nil"/>
              <w:bottom w:val="single" w:sz="4" w:space="0" w:color="auto"/>
              <w:right w:val="single" w:sz="4" w:space="0" w:color="auto"/>
            </w:tcBorders>
            <w:shd w:val="clear" w:color="000000" w:fill="FFFFFF"/>
            <w:noWrap/>
            <w:vAlign w:val="bottom"/>
            <w:hideMark/>
          </w:tcPr>
          <w:p w14:paraId="171FB17F"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4289" w:type="dxa"/>
            <w:vMerge/>
            <w:tcBorders>
              <w:top w:val="nil"/>
              <w:left w:val="single" w:sz="4" w:space="0" w:color="auto"/>
              <w:bottom w:val="single" w:sz="4" w:space="0" w:color="auto"/>
              <w:right w:val="single" w:sz="4" w:space="0" w:color="auto"/>
            </w:tcBorders>
            <w:vAlign w:val="center"/>
            <w:hideMark/>
          </w:tcPr>
          <w:p w14:paraId="35E91A99"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3F9C748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154E7EE8"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Ca</w:t>
            </w:r>
          </w:p>
        </w:tc>
        <w:tc>
          <w:tcPr>
            <w:tcW w:w="728" w:type="dxa"/>
            <w:tcBorders>
              <w:top w:val="nil"/>
              <w:left w:val="nil"/>
              <w:bottom w:val="single" w:sz="4" w:space="0" w:color="auto"/>
              <w:right w:val="single" w:sz="4" w:space="0" w:color="auto"/>
            </w:tcBorders>
            <w:shd w:val="clear" w:color="000000" w:fill="FFFFFF"/>
            <w:noWrap/>
            <w:vAlign w:val="bottom"/>
            <w:hideMark/>
          </w:tcPr>
          <w:p w14:paraId="7F673F5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CC</w:t>
            </w:r>
          </w:p>
        </w:tc>
        <w:tc>
          <w:tcPr>
            <w:tcW w:w="788" w:type="dxa"/>
            <w:tcBorders>
              <w:top w:val="nil"/>
              <w:left w:val="nil"/>
              <w:bottom w:val="single" w:sz="4" w:space="0" w:color="auto"/>
              <w:right w:val="single" w:sz="4" w:space="0" w:color="auto"/>
            </w:tcBorders>
            <w:shd w:val="clear" w:color="000000" w:fill="FFFFFF"/>
            <w:noWrap/>
            <w:vAlign w:val="bottom"/>
            <w:hideMark/>
          </w:tcPr>
          <w:p w14:paraId="36F56A6F"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CCC</w:t>
            </w:r>
          </w:p>
        </w:tc>
        <w:tc>
          <w:tcPr>
            <w:tcW w:w="4289" w:type="dxa"/>
            <w:vMerge/>
            <w:tcBorders>
              <w:top w:val="nil"/>
              <w:left w:val="single" w:sz="4" w:space="0" w:color="auto"/>
              <w:bottom w:val="single" w:sz="4" w:space="0" w:color="auto"/>
              <w:right w:val="single" w:sz="4" w:space="0" w:color="auto"/>
            </w:tcBorders>
            <w:vAlign w:val="center"/>
            <w:hideMark/>
          </w:tcPr>
          <w:p w14:paraId="0000F3FA"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7A138AA6"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702EDCB8"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C</w:t>
            </w:r>
          </w:p>
        </w:tc>
        <w:tc>
          <w:tcPr>
            <w:tcW w:w="728" w:type="dxa"/>
            <w:tcBorders>
              <w:top w:val="nil"/>
              <w:left w:val="nil"/>
              <w:bottom w:val="single" w:sz="4" w:space="0" w:color="auto"/>
              <w:right w:val="single" w:sz="4" w:space="0" w:color="auto"/>
            </w:tcBorders>
            <w:shd w:val="clear" w:color="000000" w:fill="FFFFFF"/>
            <w:noWrap/>
            <w:vAlign w:val="bottom"/>
            <w:hideMark/>
          </w:tcPr>
          <w:p w14:paraId="50D674A1"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88" w:type="dxa"/>
            <w:tcBorders>
              <w:top w:val="nil"/>
              <w:left w:val="nil"/>
              <w:bottom w:val="single" w:sz="4" w:space="0" w:color="auto"/>
              <w:right w:val="single" w:sz="4" w:space="0" w:color="auto"/>
            </w:tcBorders>
            <w:shd w:val="clear" w:color="000000" w:fill="FFFFFF"/>
            <w:noWrap/>
            <w:vAlign w:val="bottom"/>
            <w:hideMark/>
          </w:tcPr>
          <w:p w14:paraId="4E453302"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4289" w:type="dxa"/>
            <w:vMerge/>
            <w:tcBorders>
              <w:top w:val="nil"/>
              <w:left w:val="single" w:sz="4" w:space="0" w:color="auto"/>
              <w:bottom w:val="single" w:sz="4" w:space="0" w:color="auto"/>
              <w:right w:val="single" w:sz="4" w:space="0" w:color="auto"/>
            </w:tcBorders>
            <w:vAlign w:val="center"/>
            <w:hideMark/>
          </w:tcPr>
          <w:p w14:paraId="4FC2AA7E"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24DE0513"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5ABAEB34"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28" w:type="dxa"/>
            <w:tcBorders>
              <w:top w:val="nil"/>
              <w:left w:val="nil"/>
              <w:bottom w:val="single" w:sz="4" w:space="0" w:color="auto"/>
              <w:right w:val="single" w:sz="4" w:space="0" w:color="auto"/>
            </w:tcBorders>
            <w:shd w:val="clear" w:color="000000" w:fill="FFFFFF"/>
            <w:noWrap/>
            <w:vAlign w:val="bottom"/>
            <w:hideMark/>
          </w:tcPr>
          <w:p w14:paraId="4FDE0F1E"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88" w:type="dxa"/>
            <w:tcBorders>
              <w:top w:val="nil"/>
              <w:left w:val="nil"/>
              <w:bottom w:val="single" w:sz="4" w:space="0" w:color="auto"/>
              <w:right w:val="single" w:sz="4" w:space="0" w:color="auto"/>
            </w:tcBorders>
            <w:shd w:val="clear" w:color="000000" w:fill="FFFFFF"/>
            <w:noWrap/>
            <w:vAlign w:val="bottom"/>
            <w:hideMark/>
          </w:tcPr>
          <w:p w14:paraId="14F6DAF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DDD</w:t>
            </w:r>
          </w:p>
        </w:tc>
        <w:tc>
          <w:tcPr>
            <w:tcW w:w="4289" w:type="dxa"/>
            <w:vMerge/>
            <w:tcBorders>
              <w:top w:val="nil"/>
              <w:left w:val="single" w:sz="4" w:space="0" w:color="auto"/>
              <w:bottom w:val="single" w:sz="4" w:space="0" w:color="auto"/>
              <w:right w:val="single" w:sz="4" w:space="0" w:color="auto"/>
            </w:tcBorders>
            <w:vAlign w:val="center"/>
            <w:hideMark/>
          </w:tcPr>
          <w:p w14:paraId="5D3A6914"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40892A15"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74757773"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28" w:type="dxa"/>
            <w:tcBorders>
              <w:top w:val="nil"/>
              <w:left w:val="nil"/>
              <w:bottom w:val="single" w:sz="4" w:space="0" w:color="auto"/>
              <w:right w:val="single" w:sz="4" w:space="0" w:color="auto"/>
            </w:tcBorders>
            <w:shd w:val="clear" w:color="000000" w:fill="FFFFFF"/>
            <w:noWrap/>
            <w:vAlign w:val="bottom"/>
            <w:hideMark/>
          </w:tcPr>
          <w:p w14:paraId="597476E7"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88" w:type="dxa"/>
            <w:tcBorders>
              <w:top w:val="nil"/>
              <w:left w:val="nil"/>
              <w:bottom w:val="single" w:sz="4" w:space="0" w:color="auto"/>
              <w:right w:val="single" w:sz="4" w:space="0" w:color="auto"/>
            </w:tcBorders>
            <w:shd w:val="clear" w:color="000000" w:fill="FFFFFF"/>
            <w:noWrap/>
            <w:vAlign w:val="bottom"/>
            <w:hideMark/>
          </w:tcPr>
          <w:p w14:paraId="64026D22"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DD</w:t>
            </w:r>
          </w:p>
        </w:tc>
        <w:tc>
          <w:tcPr>
            <w:tcW w:w="4289" w:type="dxa"/>
            <w:vMerge/>
            <w:tcBorders>
              <w:top w:val="nil"/>
              <w:left w:val="single" w:sz="4" w:space="0" w:color="auto"/>
              <w:bottom w:val="single" w:sz="4" w:space="0" w:color="auto"/>
              <w:right w:val="single" w:sz="4" w:space="0" w:color="auto"/>
            </w:tcBorders>
            <w:vAlign w:val="center"/>
            <w:hideMark/>
          </w:tcPr>
          <w:p w14:paraId="4C219CCC" w14:textId="77777777" w:rsidR="003641BB" w:rsidRPr="003641BB" w:rsidRDefault="003641BB" w:rsidP="003641BB">
            <w:pPr>
              <w:spacing w:after="0" w:line="240" w:lineRule="auto"/>
              <w:rPr>
                <w:rFonts w:ascii="Calibri" w:eastAsia="Calibri" w:hAnsi="Calibri" w:cs="Times New Roman"/>
                <w:color w:val="000000"/>
                <w:szCs w:val="24"/>
              </w:rPr>
            </w:pPr>
          </w:p>
        </w:tc>
      </w:tr>
      <w:tr w:rsidR="003641BB" w:rsidRPr="003641BB" w14:paraId="34B2D467" w14:textId="77777777" w:rsidTr="00231EDC">
        <w:trPr>
          <w:trHeight w:val="300"/>
          <w:jc w:val="center"/>
        </w:trPr>
        <w:tc>
          <w:tcPr>
            <w:tcW w:w="1196" w:type="dxa"/>
            <w:tcBorders>
              <w:top w:val="nil"/>
              <w:left w:val="single" w:sz="4" w:space="0" w:color="auto"/>
              <w:bottom w:val="single" w:sz="4" w:space="0" w:color="auto"/>
              <w:right w:val="single" w:sz="4" w:space="0" w:color="auto"/>
            </w:tcBorders>
            <w:shd w:val="clear" w:color="000000" w:fill="FFFFFF"/>
            <w:noWrap/>
            <w:vAlign w:val="bottom"/>
            <w:hideMark/>
          </w:tcPr>
          <w:p w14:paraId="692037A6"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w:t>
            </w:r>
          </w:p>
        </w:tc>
        <w:tc>
          <w:tcPr>
            <w:tcW w:w="728" w:type="dxa"/>
            <w:tcBorders>
              <w:top w:val="nil"/>
              <w:left w:val="nil"/>
              <w:bottom w:val="single" w:sz="4" w:space="0" w:color="auto"/>
              <w:right w:val="single" w:sz="4" w:space="0" w:color="auto"/>
            </w:tcBorders>
            <w:shd w:val="clear" w:color="000000" w:fill="FFFFFF"/>
            <w:noWrap/>
            <w:vAlign w:val="bottom"/>
            <w:hideMark/>
          </w:tcPr>
          <w:p w14:paraId="1403DB36"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D</w:t>
            </w:r>
          </w:p>
        </w:tc>
        <w:tc>
          <w:tcPr>
            <w:tcW w:w="788" w:type="dxa"/>
            <w:tcBorders>
              <w:top w:val="nil"/>
              <w:left w:val="nil"/>
              <w:bottom w:val="single" w:sz="4" w:space="0" w:color="auto"/>
              <w:right w:val="single" w:sz="4" w:space="0" w:color="auto"/>
            </w:tcBorders>
            <w:shd w:val="clear" w:color="000000" w:fill="FFFFFF"/>
            <w:noWrap/>
            <w:vAlign w:val="bottom"/>
            <w:hideMark/>
          </w:tcPr>
          <w:p w14:paraId="72FD5C6A" w14:textId="77777777" w:rsidR="003641BB" w:rsidRPr="003641BB" w:rsidRDefault="003641BB" w:rsidP="003641BB">
            <w:pPr>
              <w:spacing w:after="0" w:line="240" w:lineRule="auto"/>
              <w:jc w:val="center"/>
              <w:rPr>
                <w:rFonts w:ascii="Calibri" w:eastAsia="Calibri" w:hAnsi="Calibri" w:cs="Times New Roman"/>
                <w:color w:val="000000"/>
                <w:szCs w:val="24"/>
              </w:rPr>
            </w:pPr>
            <w:r w:rsidRPr="003641BB">
              <w:rPr>
                <w:rFonts w:ascii="Calibri" w:eastAsia="Calibri" w:hAnsi="Calibri" w:cs="Times New Roman"/>
                <w:color w:val="000000"/>
                <w:szCs w:val="24"/>
              </w:rPr>
              <w:t>D</w:t>
            </w:r>
          </w:p>
        </w:tc>
        <w:tc>
          <w:tcPr>
            <w:tcW w:w="4289" w:type="dxa"/>
            <w:vMerge/>
            <w:tcBorders>
              <w:top w:val="nil"/>
              <w:left w:val="single" w:sz="4" w:space="0" w:color="auto"/>
              <w:bottom w:val="single" w:sz="4" w:space="0" w:color="auto"/>
              <w:right w:val="single" w:sz="4" w:space="0" w:color="auto"/>
            </w:tcBorders>
            <w:vAlign w:val="center"/>
            <w:hideMark/>
          </w:tcPr>
          <w:p w14:paraId="7CCF3861" w14:textId="77777777" w:rsidR="003641BB" w:rsidRPr="003641BB" w:rsidRDefault="003641BB" w:rsidP="003641BB">
            <w:pPr>
              <w:spacing w:after="0" w:line="240" w:lineRule="auto"/>
              <w:rPr>
                <w:rFonts w:ascii="Calibri" w:eastAsia="Calibri" w:hAnsi="Calibri" w:cs="Times New Roman"/>
                <w:color w:val="000000"/>
                <w:szCs w:val="24"/>
              </w:rPr>
            </w:pPr>
          </w:p>
        </w:tc>
      </w:tr>
    </w:tbl>
    <w:p w14:paraId="4B8B544D" w14:textId="77777777" w:rsidR="0022004C" w:rsidRPr="00500C8D" w:rsidRDefault="0022004C" w:rsidP="00BA0677">
      <w:pPr>
        <w:pStyle w:val="NoSpacing"/>
        <w:ind w:left="0"/>
        <w:rPr>
          <w:rFonts w:ascii="Tahoma" w:hAnsi="Tahoma" w:cs="Tahoma"/>
          <w:color w:val="000000" w:themeColor="text1"/>
          <w:sz w:val="20"/>
        </w:rPr>
      </w:pPr>
    </w:p>
    <w:p w14:paraId="3B2DE27E" w14:textId="77777777" w:rsidR="003641BB" w:rsidRDefault="003641BB">
      <w:pPr>
        <w:rPr>
          <w:rFonts w:ascii="Tahoma" w:hAnsi="Tahoma" w:cs="Tahoma"/>
          <w:color w:val="000000" w:themeColor="text1"/>
          <w:kern w:val="20"/>
          <w:sz w:val="20"/>
          <w:szCs w:val="20"/>
          <w:lang w:eastAsia="ja-JP"/>
        </w:rPr>
      </w:pPr>
      <w:r>
        <w:rPr>
          <w:rFonts w:ascii="Tahoma" w:hAnsi="Tahoma" w:cs="Tahoma"/>
          <w:color w:val="000000" w:themeColor="text1"/>
          <w:sz w:val="20"/>
        </w:rPr>
        <w:br w:type="page"/>
      </w:r>
    </w:p>
    <w:p w14:paraId="6A56D16A" w14:textId="77777777" w:rsidR="0022004C" w:rsidRPr="00500C8D" w:rsidRDefault="0022004C" w:rsidP="00BA0677">
      <w:pPr>
        <w:pStyle w:val="NoSpacing"/>
        <w:ind w:left="0"/>
        <w:rPr>
          <w:rFonts w:ascii="Tahoma" w:hAnsi="Tahoma" w:cs="Tahoma"/>
          <w:color w:val="000000" w:themeColor="text1"/>
          <w:sz w:val="20"/>
        </w:rPr>
      </w:pPr>
    </w:p>
    <w:p w14:paraId="1FACC0F4" w14:textId="77777777" w:rsidR="009D518A" w:rsidRPr="009D518A" w:rsidRDefault="009D518A" w:rsidP="009D518A">
      <w:pPr>
        <w:tabs>
          <w:tab w:val="left" w:pos="720"/>
        </w:tabs>
        <w:spacing w:after="0" w:line="240" w:lineRule="auto"/>
        <w:jc w:val="center"/>
        <w:rPr>
          <w:rFonts w:ascii="Calibri" w:eastAsia="Arial" w:hAnsi="Calibri" w:cs="Arial"/>
          <w:b/>
          <w:color w:val="000000"/>
          <w:spacing w:val="-1"/>
          <w:sz w:val="32"/>
          <w:szCs w:val="24"/>
        </w:rPr>
      </w:pPr>
      <w:r w:rsidRPr="009D518A">
        <w:rPr>
          <w:rFonts w:ascii="Calibri" w:eastAsia="Arial" w:hAnsi="Calibri" w:cs="Arial"/>
          <w:b/>
          <w:color w:val="000000"/>
          <w:spacing w:val="-1"/>
          <w:sz w:val="32"/>
          <w:szCs w:val="24"/>
        </w:rPr>
        <w:t>GLOSSARY OF TERMS</w:t>
      </w:r>
    </w:p>
    <w:p w14:paraId="41730444" w14:textId="77777777" w:rsidR="009D518A" w:rsidRPr="009D518A" w:rsidRDefault="009D518A" w:rsidP="009D518A">
      <w:pPr>
        <w:tabs>
          <w:tab w:val="left" w:pos="720"/>
        </w:tabs>
        <w:spacing w:after="0" w:line="240" w:lineRule="auto"/>
        <w:jc w:val="both"/>
        <w:rPr>
          <w:rFonts w:ascii="Calibri" w:eastAsia="Arial" w:hAnsi="Calibri" w:cs="Arial"/>
          <w:color w:val="000000"/>
          <w:spacing w:val="-1"/>
          <w:sz w:val="24"/>
          <w:szCs w:val="24"/>
        </w:rPr>
      </w:pPr>
    </w:p>
    <w:p w14:paraId="7477844F" w14:textId="77777777" w:rsidR="009D518A" w:rsidRPr="009D518A" w:rsidRDefault="009D518A" w:rsidP="009D518A">
      <w:pPr>
        <w:spacing w:after="0" w:line="240" w:lineRule="auto"/>
        <w:jc w:val="both"/>
        <w:rPr>
          <w:rFonts w:ascii="Calibri" w:eastAsia="Calibri" w:hAnsi="Calibri" w:cs="Calibri"/>
          <w:b/>
          <w:color w:val="000000"/>
        </w:rPr>
      </w:pPr>
      <w:r w:rsidRPr="009D518A">
        <w:rPr>
          <w:rFonts w:ascii="Calibri" w:eastAsia="Calibri" w:hAnsi="Calibri" w:cs="Calibri"/>
          <w:b/>
          <w:color w:val="000000"/>
        </w:rPr>
        <w:t>The following is a glossary of key terms which appear in the Government Investment Officers Association’s Model Investment Policy.</w:t>
      </w:r>
      <w:r w:rsidR="00A322FB">
        <w:rPr>
          <w:rFonts w:ascii="Calibri" w:eastAsia="Calibri" w:hAnsi="Calibri" w:cs="Calibri"/>
          <w:b/>
          <w:color w:val="000000"/>
        </w:rPr>
        <w:t xml:space="preserve">  (Note: The entity’s Policy should include relevant terms, not all terms may need to be included)</w:t>
      </w:r>
    </w:p>
    <w:p w14:paraId="281BC236" w14:textId="77777777" w:rsidR="009D518A" w:rsidRPr="009D518A" w:rsidRDefault="009D518A" w:rsidP="009D518A">
      <w:pPr>
        <w:spacing w:after="0" w:line="240" w:lineRule="auto"/>
        <w:jc w:val="both"/>
        <w:rPr>
          <w:rFonts w:ascii="Calibri" w:eastAsia="Calibri" w:hAnsi="Calibri" w:cs="Calibri"/>
          <w:b/>
          <w:color w:val="000000"/>
          <w:sz w:val="20"/>
        </w:rPr>
      </w:pPr>
    </w:p>
    <w:p w14:paraId="4BF660AB" w14:textId="77777777" w:rsidR="009D518A" w:rsidRPr="009D518A" w:rsidRDefault="009D518A" w:rsidP="009D518A">
      <w:pPr>
        <w:spacing w:after="0" w:line="240" w:lineRule="auto"/>
        <w:jc w:val="both"/>
        <w:rPr>
          <w:rFonts w:ascii="Calibri" w:eastAsia="Calibri" w:hAnsi="Calibri" w:cs="Calibri"/>
          <w:b/>
          <w:color w:val="000000"/>
        </w:rPr>
      </w:pPr>
      <w:r w:rsidRPr="009D518A">
        <w:rPr>
          <w:rFonts w:ascii="Calibri" w:eastAsia="Calibri" w:hAnsi="Calibri" w:cs="Calibri"/>
          <w:b/>
          <w:color w:val="000000"/>
        </w:rPr>
        <w:t xml:space="preserve">144A:  </w:t>
      </w:r>
      <w:r w:rsidRPr="009D518A">
        <w:rPr>
          <w:rFonts w:ascii="Calibri" w:eastAsia="Calibri" w:hAnsi="Calibri" w:cs="Calibri"/>
          <w:color w:val="000000"/>
        </w:rPr>
        <w:t>A Section of the Securities and Exchange Commission (SEC) which restricts trades of privately placed securities so that these investments can be traded among qualified institutional buyers.</w:t>
      </w:r>
      <w:r w:rsidRPr="009D518A">
        <w:rPr>
          <w:rFonts w:ascii="Calibri" w:eastAsia="Calibri" w:hAnsi="Calibri" w:cs="Calibri"/>
          <w:b/>
          <w:color w:val="000000"/>
        </w:rPr>
        <w:t xml:space="preserve">  </w:t>
      </w:r>
    </w:p>
    <w:p w14:paraId="45E74BCC" w14:textId="77777777" w:rsidR="009D518A" w:rsidRPr="009D518A" w:rsidRDefault="009D518A" w:rsidP="009D518A">
      <w:pPr>
        <w:spacing w:after="0" w:line="240" w:lineRule="auto"/>
        <w:jc w:val="both"/>
        <w:rPr>
          <w:rFonts w:ascii="Calibri" w:eastAsia="Calibri" w:hAnsi="Calibri" w:cs="Calibri"/>
          <w:b/>
          <w:color w:val="000000"/>
        </w:rPr>
      </w:pPr>
    </w:p>
    <w:p w14:paraId="5553BC7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Accretion:</w:t>
      </w:r>
      <w:r w:rsidRPr="009D518A">
        <w:rPr>
          <w:rFonts w:ascii="Calibri" w:eastAsia="Calibri" w:hAnsi="Calibri" w:cs="Calibri"/>
          <w:color w:val="000000"/>
        </w:rPr>
        <w:t xml:space="preserve">  The increase in the value of a discounted instrument as time passes and as the maturity date gets closer. The value of the instrument will accrete (grow) at the interest rate implied by the discounted issuance price, the value at maturity, and the term to maturity.</w:t>
      </w:r>
    </w:p>
    <w:p w14:paraId="08729FB1" w14:textId="77777777" w:rsidR="009D518A" w:rsidRPr="009D518A" w:rsidRDefault="009D518A" w:rsidP="009D518A">
      <w:pPr>
        <w:spacing w:after="0" w:line="240" w:lineRule="auto"/>
        <w:jc w:val="both"/>
        <w:rPr>
          <w:rFonts w:ascii="Calibri" w:eastAsia="Calibri" w:hAnsi="Calibri" w:cs="Calibri"/>
          <w:b/>
          <w:color w:val="000000"/>
        </w:rPr>
      </w:pPr>
    </w:p>
    <w:p w14:paraId="3064F715"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Accrued Interest</w:t>
      </w:r>
      <w:r w:rsidRPr="009D518A">
        <w:rPr>
          <w:rFonts w:ascii="Calibri" w:eastAsia="Calibri" w:hAnsi="Calibri" w:cs="Calibri"/>
          <w:color w:val="000000"/>
        </w:rPr>
        <w:t>: The interest that has accumulated but has not yet been paid from the most recent interest payment date or issue date to a certain date.</w:t>
      </w:r>
    </w:p>
    <w:p w14:paraId="2C67B9CC" w14:textId="77777777" w:rsidR="009D518A" w:rsidRPr="009D518A" w:rsidRDefault="009D518A" w:rsidP="009D518A">
      <w:pPr>
        <w:spacing w:after="0" w:line="240" w:lineRule="auto"/>
        <w:jc w:val="both"/>
        <w:rPr>
          <w:rFonts w:ascii="Calibri" w:eastAsia="Calibri" w:hAnsi="Calibri" w:cs="Calibri"/>
          <w:color w:val="000000"/>
        </w:rPr>
      </w:pPr>
    </w:p>
    <w:p w14:paraId="224F806F" w14:textId="77777777" w:rsidR="00225A8F"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Agency</w:t>
      </w:r>
      <w:r w:rsidRPr="009D518A">
        <w:rPr>
          <w:rFonts w:ascii="Calibri" w:eastAsia="Calibri" w:hAnsi="Calibri" w:cs="Calibri"/>
          <w:color w:val="000000"/>
        </w:rPr>
        <w:t xml:space="preserve">: </w:t>
      </w:r>
      <w:r w:rsidR="00225A8F" w:rsidRPr="00225A8F">
        <w:rPr>
          <w:rFonts w:ascii="Calibri" w:eastAsia="Calibri" w:hAnsi="Calibri" w:cs="Calibri"/>
          <w:color w:val="000000"/>
        </w:rPr>
        <w:t>A debt security issued by an agency or instr</w:t>
      </w:r>
      <w:r w:rsidR="001D0E1A">
        <w:rPr>
          <w:rFonts w:ascii="Calibri" w:eastAsia="Calibri" w:hAnsi="Calibri" w:cs="Calibri"/>
          <w:color w:val="000000"/>
        </w:rPr>
        <w:t>umentality of the United States</w:t>
      </w:r>
      <w:r w:rsidR="00225A8F" w:rsidRPr="00225A8F">
        <w:rPr>
          <w:rFonts w:ascii="Calibri" w:eastAsia="Calibri" w:hAnsi="Calibri" w:cs="Calibri"/>
          <w:color w:val="000000"/>
        </w:rPr>
        <w:t xml:space="preserve">.  Agencies are backed by each particular agency or instrumentality of the United States with a market perception that there is an implicit government guarantee.  </w:t>
      </w:r>
    </w:p>
    <w:p w14:paraId="5EFED413" w14:textId="77777777" w:rsidR="00225A8F" w:rsidRDefault="00225A8F" w:rsidP="009D518A">
      <w:pPr>
        <w:spacing w:after="0" w:line="240" w:lineRule="auto"/>
        <w:jc w:val="both"/>
        <w:rPr>
          <w:rFonts w:ascii="Calibri" w:eastAsia="Calibri" w:hAnsi="Calibri" w:cs="Calibri"/>
          <w:color w:val="000000"/>
        </w:rPr>
      </w:pPr>
    </w:p>
    <w:p w14:paraId="711ACE1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Amortized Cost: </w:t>
      </w:r>
      <w:r w:rsidRPr="009D518A">
        <w:rPr>
          <w:rFonts w:ascii="Calibri" w:eastAsia="Calibri" w:hAnsi="Calibri" w:cs="Calibri"/>
          <w:color w:val="000000"/>
        </w:rPr>
        <w:t>The original cost of the principal adjusted for the periodic reduction of any discount or</w:t>
      </w:r>
    </w:p>
    <w:p w14:paraId="2C62405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premium from the purchase date until a specific date (also called “Book Value”).</w:t>
      </w:r>
    </w:p>
    <w:p w14:paraId="504B5C17" w14:textId="77777777" w:rsidR="009D518A" w:rsidRPr="009D518A" w:rsidRDefault="009D518A" w:rsidP="009D518A">
      <w:pPr>
        <w:spacing w:after="0" w:line="240" w:lineRule="auto"/>
        <w:jc w:val="both"/>
        <w:rPr>
          <w:rFonts w:ascii="Calibri" w:eastAsia="Calibri" w:hAnsi="Calibri" w:cs="Calibri"/>
          <w:b/>
          <w:color w:val="000000"/>
        </w:rPr>
      </w:pPr>
    </w:p>
    <w:p w14:paraId="7618BC5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Amortization</w:t>
      </w:r>
      <w:r w:rsidRPr="009D518A">
        <w:rPr>
          <w:rFonts w:ascii="Calibri" w:eastAsia="Calibri" w:hAnsi="Calibri" w:cs="Calibri"/>
          <w:color w:val="000000"/>
        </w:rPr>
        <w:t xml:space="preserve">:  The systematic reduction of the amount owed on a debt issue through periodic payments of principal.  The decrease in the value of a premium instrument as time passes and as the maturity date gets closer. The value of the instrument will amortize (decrease) at the interest rate implied by the discounted issuance price, the value at maturity, and the term to maturity. </w:t>
      </w:r>
    </w:p>
    <w:p w14:paraId="2DFD40B9" w14:textId="77777777" w:rsidR="009D518A" w:rsidRPr="009D518A" w:rsidRDefault="009D518A" w:rsidP="009D518A">
      <w:pPr>
        <w:spacing w:after="0" w:line="240" w:lineRule="auto"/>
        <w:jc w:val="both"/>
        <w:rPr>
          <w:rFonts w:ascii="Calibri" w:eastAsia="Calibri" w:hAnsi="Calibri" w:cs="Calibri"/>
          <w:color w:val="000000"/>
        </w:rPr>
      </w:pPr>
    </w:p>
    <w:p w14:paraId="67A8D63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Asset-Backed Security</w:t>
      </w:r>
      <w:r w:rsidRPr="009D518A">
        <w:rPr>
          <w:rFonts w:ascii="Calibri" w:eastAsia="Calibri" w:hAnsi="Calibri" w:cs="Calibri"/>
          <w:color w:val="000000"/>
        </w:rPr>
        <w:t>: A security backed by notes or receivables against assets other than real estate.  Examples are autos, credit cards, and equipment.</w:t>
      </w:r>
    </w:p>
    <w:p w14:paraId="532DFF99" w14:textId="77777777" w:rsidR="009D518A" w:rsidRPr="009D518A" w:rsidRDefault="009D518A" w:rsidP="009D518A">
      <w:pPr>
        <w:spacing w:after="0" w:line="240" w:lineRule="auto"/>
        <w:jc w:val="both"/>
        <w:rPr>
          <w:rFonts w:ascii="Calibri" w:eastAsia="Calibri" w:hAnsi="Calibri" w:cs="Calibri"/>
          <w:color w:val="000000"/>
        </w:rPr>
      </w:pPr>
    </w:p>
    <w:p w14:paraId="26B37CB5"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Ask/Offer:</w:t>
      </w:r>
      <w:r w:rsidRPr="009D518A">
        <w:rPr>
          <w:rFonts w:ascii="Calibri" w:eastAsia="Arial" w:hAnsi="Calibri" w:cs="Calibri"/>
          <w:color w:val="000000"/>
          <w:spacing w:val="-1"/>
        </w:rPr>
        <w:t xml:space="preserve">  The price at which securities are offered.</w:t>
      </w:r>
    </w:p>
    <w:p w14:paraId="4EC3E35A"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p>
    <w:p w14:paraId="4BF5C4F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Bankers’ Acceptances</w:t>
      </w:r>
      <w:r w:rsidRPr="009D518A">
        <w:rPr>
          <w:rFonts w:ascii="Calibri" w:eastAsia="Calibri" w:hAnsi="Calibri" w:cs="Calibri"/>
          <w:color w:val="000000"/>
        </w:rPr>
        <w:t>: A short-term credit instrument created by a non-financial firm and guaranteed by a bank as to payment.  Acceptances are traded at discounts from face value in the secondary market on the basis of the credit quality of the guaranteeing banks.</w:t>
      </w:r>
    </w:p>
    <w:p w14:paraId="2E932130" w14:textId="77777777" w:rsidR="009D518A" w:rsidRPr="009D518A" w:rsidRDefault="009D518A" w:rsidP="009D518A">
      <w:pPr>
        <w:spacing w:after="0" w:line="240" w:lineRule="auto"/>
        <w:jc w:val="both"/>
        <w:rPr>
          <w:rFonts w:ascii="Calibri" w:eastAsia="Calibri" w:hAnsi="Calibri" w:cs="Calibri"/>
          <w:color w:val="000000"/>
        </w:rPr>
      </w:pPr>
    </w:p>
    <w:p w14:paraId="5D6CEAE7"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Basis Point</w:t>
      </w:r>
      <w:r w:rsidRPr="009D518A">
        <w:rPr>
          <w:rFonts w:ascii="Calibri" w:eastAsia="Calibri" w:hAnsi="Calibri" w:cs="Calibri"/>
          <w:color w:val="000000"/>
        </w:rPr>
        <w:t>: A unit of measurement used in the valuation of fixed</w:t>
      </w:r>
      <w:r w:rsidRPr="009D518A">
        <w:rPr>
          <w:rFonts w:ascii="Calibri" w:eastAsia="Calibri" w:hAnsi="Calibri" w:cs="Calibri"/>
          <w:color w:val="000000"/>
        </w:rPr>
        <w:noBreakHyphen/>
        <w:t>income securities equal to 1/100 of 1 percent of yield.  As an example, the difference between a security yielding 2.00% and 2.25% is 25 basis points.</w:t>
      </w:r>
    </w:p>
    <w:p w14:paraId="367C9029" w14:textId="77777777" w:rsidR="009D518A" w:rsidRPr="009D518A" w:rsidRDefault="009D518A" w:rsidP="009D518A">
      <w:pPr>
        <w:spacing w:after="0" w:line="240" w:lineRule="auto"/>
        <w:jc w:val="both"/>
        <w:rPr>
          <w:rFonts w:ascii="Calibri" w:eastAsia="Calibri" w:hAnsi="Calibri" w:cs="Calibri"/>
          <w:color w:val="000000"/>
        </w:rPr>
      </w:pPr>
    </w:p>
    <w:p w14:paraId="63B3527A" w14:textId="77777777" w:rsidR="009D518A" w:rsidRPr="009D518A" w:rsidRDefault="009D518A" w:rsidP="009D518A">
      <w:pPr>
        <w:spacing w:after="0" w:line="240" w:lineRule="auto"/>
        <w:jc w:val="both"/>
        <w:rPr>
          <w:rFonts w:ascii="Calibri" w:eastAsia="Calibri" w:hAnsi="Calibri" w:cs="Calibri"/>
          <w:b/>
          <w:color w:val="000000"/>
        </w:rPr>
      </w:pPr>
      <w:r w:rsidRPr="009D518A">
        <w:rPr>
          <w:rFonts w:ascii="Calibri" w:eastAsia="Calibri" w:hAnsi="Calibri" w:cs="Calibri"/>
          <w:b/>
          <w:color w:val="000000"/>
        </w:rPr>
        <w:t xml:space="preserve">Benchmark:  </w:t>
      </w:r>
      <w:r w:rsidRPr="009D518A">
        <w:rPr>
          <w:rFonts w:ascii="Calibri" w:eastAsia="Calibri" w:hAnsi="Calibri" w:cs="Calibri"/>
          <w:color w:val="000000"/>
        </w:rPr>
        <w:t xml:space="preserve">A comparative base for measuring the performance or risk tolerance of an investment portfolio. A benchmark should represent the persistent and prominent characteristics of a portfolio, taking into account metrics such as duration, investment type, and asset allocation. </w:t>
      </w:r>
      <w:r w:rsidRPr="009D518A">
        <w:rPr>
          <w:rFonts w:ascii="Calibri" w:eastAsia="Calibri" w:hAnsi="Calibri" w:cs="Calibri"/>
          <w:color w:val="000000"/>
        </w:rPr>
        <w:cr/>
      </w:r>
    </w:p>
    <w:p w14:paraId="71700D8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Bid</w:t>
      </w:r>
      <w:r w:rsidRPr="009D518A">
        <w:rPr>
          <w:rFonts w:ascii="Calibri" w:eastAsia="Calibri" w:hAnsi="Calibri" w:cs="Calibri"/>
          <w:color w:val="000000"/>
        </w:rPr>
        <w:t>: The indicated price at which a buyer is willing to purchase a security or commodity.</w:t>
      </w:r>
    </w:p>
    <w:p w14:paraId="72C2D903"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lastRenderedPageBreak/>
        <w:t>Bond:</w:t>
      </w:r>
      <w:r w:rsidRPr="009D518A">
        <w:rPr>
          <w:rFonts w:ascii="Calibri" w:eastAsia="Calibri" w:hAnsi="Calibri" w:cs="Calibri"/>
          <w:color w:val="000000"/>
        </w:rPr>
        <w:t xml:space="preserve">  A long-term debt instrument of a government or corporation promising payment of the original</w:t>
      </w:r>
    </w:p>
    <w:p w14:paraId="380C4F7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investment plus interest by a specified future date.</w:t>
      </w:r>
    </w:p>
    <w:p w14:paraId="4B522A94" w14:textId="77777777" w:rsidR="009D518A" w:rsidRPr="009D518A" w:rsidRDefault="009D518A" w:rsidP="009D518A">
      <w:pPr>
        <w:spacing w:after="0" w:line="240" w:lineRule="auto"/>
        <w:jc w:val="both"/>
        <w:rPr>
          <w:rFonts w:ascii="Calibri" w:eastAsia="Calibri" w:hAnsi="Calibri" w:cs="Calibri"/>
          <w:color w:val="000000"/>
        </w:rPr>
      </w:pPr>
    </w:p>
    <w:p w14:paraId="2A384423" w14:textId="77777777" w:rsidR="009D518A" w:rsidRPr="009D518A" w:rsidRDefault="009D518A" w:rsidP="009D518A">
      <w:pPr>
        <w:spacing w:after="0" w:line="240" w:lineRule="auto"/>
        <w:jc w:val="both"/>
        <w:rPr>
          <w:rFonts w:ascii="Calibri" w:eastAsia="Calibri" w:hAnsi="Calibri" w:cs="Calibri"/>
          <w:b/>
          <w:color w:val="000000"/>
        </w:rPr>
      </w:pPr>
      <w:r w:rsidRPr="009D518A">
        <w:rPr>
          <w:rFonts w:ascii="Calibri" w:eastAsia="Calibri" w:hAnsi="Calibri" w:cs="Calibri"/>
          <w:b/>
          <w:bCs/>
          <w:color w:val="000000"/>
        </w:rPr>
        <w:t>Book or Effective Return</w:t>
      </w:r>
      <w:r w:rsidRPr="009D518A">
        <w:rPr>
          <w:rFonts w:ascii="Calibri" w:eastAsia="Calibri" w:hAnsi="Calibri" w:cs="Calibri"/>
          <w:color w:val="000000"/>
        </w:rPr>
        <w:t>:  The sum of all investment income plus realized gains and losses.</w:t>
      </w:r>
    </w:p>
    <w:p w14:paraId="4B9ABA6C" w14:textId="77777777" w:rsidR="009D518A" w:rsidRPr="009D518A" w:rsidRDefault="009D518A" w:rsidP="009D518A">
      <w:pPr>
        <w:spacing w:after="0" w:line="240" w:lineRule="auto"/>
        <w:jc w:val="both"/>
        <w:rPr>
          <w:rFonts w:ascii="Calibri" w:eastAsia="Calibri" w:hAnsi="Calibri" w:cs="Calibri"/>
          <w:color w:val="000000"/>
        </w:rPr>
      </w:pPr>
    </w:p>
    <w:p w14:paraId="09EE948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Book Value</w:t>
      </w:r>
      <w:r w:rsidRPr="009D518A">
        <w:rPr>
          <w:rFonts w:ascii="Calibri" w:eastAsia="Calibri" w:hAnsi="Calibri" w:cs="Calibri"/>
          <w:color w:val="000000"/>
        </w:rPr>
        <w:t>: The value at which a security is carried on the inventory lists or other financial records of an investor.  The book value may differ significantly from the security's current value in the market.</w:t>
      </w:r>
    </w:p>
    <w:p w14:paraId="20C5E4D4" w14:textId="77777777" w:rsidR="009D518A" w:rsidRPr="009D518A" w:rsidRDefault="009D518A" w:rsidP="009D518A">
      <w:pPr>
        <w:spacing w:after="0" w:line="240" w:lineRule="auto"/>
        <w:jc w:val="both"/>
        <w:rPr>
          <w:rFonts w:ascii="Calibri" w:eastAsia="Calibri" w:hAnsi="Calibri" w:cs="Calibri"/>
          <w:color w:val="000000"/>
        </w:rPr>
      </w:pPr>
    </w:p>
    <w:p w14:paraId="62E8594D"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Broker:</w:t>
      </w:r>
      <w:r w:rsidRPr="009D518A">
        <w:rPr>
          <w:rFonts w:ascii="Calibri" w:eastAsia="Calibri" w:hAnsi="Calibri" w:cs="Calibri"/>
          <w:color w:val="000000"/>
        </w:rPr>
        <w:t xml:space="preserve">  A broker facilitates security trades on behalf of investors (see Dealer). </w:t>
      </w:r>
    </w:p>
    <w:p w14:paraId="06B6D956" w14:textId="77777777" w:rsidR="009D518A" w:rsidRPr="009D518A" w:rsidRDefault="009D518A" w:rsidP="009D518A">
      <w:pPr>
        <w:spacing w:after="0" w:line="240" w:lineRule="auto"/>
        <w:jc w:val="both"/>
        <w:rPr>
          <w:rFonts w:ascii="Calibri" w:eastAsia="Calibri" w:hAnsi="Calibri" w:cs="Calibri"/>
          <w:color w:val="000000"/>
        </w:rPr>
      </w:pPr>
    </w:p>
    <w:p w14:paraId="2FBC5D1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Bullet:</w:t>
      </w:r>
      <w:r w:rsidRPr="009D518A">
        <w:rPr>
          <w:rFonts w:ascii="Calibri" w:eastAsia="Calibri" w:hAnsi="Calibri" w:cs="Calibri"/>
          <w:color w:val="000000"/>
        </w:rPr>
        <w:t xml:space="preserve"> A colloquial term for a bond that cannot be redeemed, or called, prior to maturity.</w:t>
      </w:r>
    </w:p>
    <w:p w14:paraId="684CBCBB" w14:textId="77777777" w:rsidR="009D518A" w:rsidRPr="009D518A" w:rsidRDefault="009D518A" w:rsidP="009D518A">
      <w:pPr>
        <w:spacing w:after="0" w:line="240" w:lineRule="auto"/>
        <w:jc w:val="both"/>
        <w:rPr>
          <w:rFonts w:ascii="Calibri" w:eastAsia="Calibri" w:hAnsi="Calibri" w:cs="Calibri"/>
          <w:b/>
          <w:color w:val="000000"/>
        </w:rPr>
      </w:pPr>
    </w:p>
    <w:p w14:paraId="62F14FA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Callable Bond</w:t>
      </w:r>
      <w:r w:rsidRPr="009D518A">
        <w:rPr>
          <w:rFonts w:ascii="Calibri" w:eastAsia="Calibri" w:hAnsi="Calibri" w:cs="Calibri"/>
          <w:color w:val="000000"/>
        </w:rPr>
        <w:t>: A bond issue in which all or part of its outstanding principal amount may be redeemed before maturity by the issuer under specified conditions.</w:t>
      </w:r>
    </w:p>
    <w:p w14:paraId="5E89FEA7" w14:textId="77777777" w:rsidR="009D518A" w:rsidRPr="009D518A" w:rsidRDefault="009D518A" w:rsidP="009D518A">
      <w:pPr>
        <w:spacing w:after="0" w:line="240" w:lineRule="auto"/>
        <w:jc w:val="both"/>
        <w:rPr>
          <w:rFonts w:ascii="Calibri" w:eastAsia="Calibri" w:hAnsi="Calibri" w:cs="Calibri"/>
          <w:color w:val="000000"/>
        </w:rPr>
      </w:pPr>
    </w:p>
    <w:p w14:paraId="6EFB3AF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Call Price</w:t>
      </w:r>
      <w:r w:rsidRPr="009D518A">
        <w:rPr>
          <w:rFonts w:ascii="Calibri" w:eastAsia="Calibri" w:hAnsi="Calibri" w:cs="Calibri"/>
          <w:color w:val="000000"/>
        </w:rPr>
        <w:t>: The price at which an issuer may redeem a bond prior to maturity.  The price is usually at a slight premium to the bond's original issue price to compensate the holder for loss of income and ownership.</w:t>
      </w:r>
    </w:p>
    <w:p w14:paraId="3711D798" w14:textId="77777777" w:rsidR="009D518A" w:rsidRPr="009D518A" w:rsidRDefault="009D518A" w:rsidP="009D518A">
      <w:pPr>
        <w:spacing w:after="0" w:line="240" w:lineRule="auto"/>
        <w:jc w:val="both"/>
        <w:rPr>
          <w:rFonts w:ascii="Calibri" w:eastAsia="Calibri" w:hAnsi="Calibri" w:cs="Calibri"/>
          <w:b/>
          <w:color w:val="000000"/>
        </w:rPr>
      </w:pPr>
    </w:p>
    <w:p w14:paraId="4288AF2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Call Risk</w:t>
      </w:r>
      <w:r w:rsidRPr="009D518A">
        <w:rPr>
          <w:rFonts w:ascii="Calibri" w:eastAsia="Calibri" w:hAnsi="Calibri" w:cs="Calibri"/>
          <w:color w:val="000000"/>
        </w:rPr>
        <w:t>: The risk to a bondholder that a bond may be redeemed prior to maturity.</w:t>
      </w:r>
    </w:p>
    <w:p w14:paraId="10B4F35E" w14:textId="77777777" w:rsidR="009D518A" w:rsidRPr="009D518A" w:rsidRDefault="009D518A" w:rsidP="009D518A">
      <w:pPr>
        <w:spacing w:after="0" w:line="240" w:lineRule="auto"/>
        <w:jc w:val="both"/>
        <w:rPr>
          <w:rFonts w:ascii="Calibri" w:eastAsia="Calibri" w:hAnsi="Calibri" w:cs="Calibri"/>
          <w:color w:val="000000"/>
        </w:rPr>
      </w:pPr>
    </w:p>
    <w:p w14:paraId="08E9227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Cash Sale/Purchase</w:t>
      </w:r>
      <w:r w:rsidRPr="009D518A">
        <w:rPr>
          <w:rFonts w:ascii="Calibri" w:eastAsia="Calibri" w:hAnsi="Calibri" w:cs="Calibri"/>
          <w:color w:val="000000"/>
        </w:rPr>
        <w:t>: A transaction which calls for delivery and payment of securities on the same day that the transaction is initiated.</w:t>
      </w:r>
    </w:p>
    <w:p w14:paraId="72DBBD04" w14:textId="77777777" w:rsidR="009D518A" w:rsidRPr="009D518A" w:rsidRDefault="009D518A" w:rsidP="009D518A">
      <w:pPr>
        <w:spacing w:after="0" w:line="240" w:lineRule="auto"/>
        <w:jc w:val="both"/>
        <w:rPr>
          <w:rFonts w:ascii="Calibri" w:eastAsia="Calibri" w:hAnsi="Calibri" w:cs="Calibri"/>
          <w:color w:val="000000"/>
        </w:rPr>
      </w:pPr>
    </w:p>
    <w:p w14:paraId="72EF2C7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Certificate of Deposit</w:t>
      </w:r>
      <w:r w:rsidRPr="009D518A">
        <w:rPr>
          <w:rFonts w:ascii="Calibri" w:eastAsia="Calibri" w:hAnsi="Calibri" w:cs="Calibri"/>
          <w:color w:val="000000"/>
        </w:rPr>
        <w:t xml:space="preserve">: A debt instrument issued by financial institutions that will pay interest, periodically or at maturity, and principal when it reaches maturity.  Maturities range from a few weeks to several years. </w:t>
      </w:r>
    </w:p>
    <w:p w14:paraId="5C8A1F0F" w14:textId="77777777" w:rsidR="009D518A" w:rsidRPr="009D518A" w:rsidRDefault="009D518A" w:rsidP="009D518A">
      <w:pPr>
        <w:spacing w:after="0" w:line="240" w:lineRule="auto"/>
        <w:jc w:val="both"/>
        <w:rPr>
          <w:rFonts w:ascii="Calibri" w:eastAsia="Calibri" w:hAnsi="Calibri" w:cs="Calibri"/>
          <w:b/>
          <w:color w:val="000000"/>
        </w:rPr>
      </w:pPr>
    </w:p>
    <w:p w14:paraId="39D65B17"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Collateralization</w:t>
      </w:r>
      <w:r w:rsidRPr="009D518A">
        <w:rPr>
          <w:rFonts w:ascii="Calibri" w:eastAsia="Calibri" w:hAnsi="Calibri" w:cs="Calibri"/>
          <w:color w:val="000000"/>
        </w:rPr>
        <w:t>: A process by which a borrower pledges securities, property, or other deposits for the purpose of securing the repayment of a loan and/or security.</w:t>
      </w:r>
    </w:p>
    <w:p w14:paraId="6F71569F" w14:textId="77777777" w:rsidR="009D518A" w:rsidRPr="009D518A" w:rsidRDefault="009D518A" w:rsidP="009D518A">
      <w:pPr>
        <w:spacing w:after="0" w:line="240" w:lineRule="auto"/>
        <w:jc w:val="both"/>
        <w:rPr>
          <w:rFonts w:ascii="Calibri" w:eastAsia="Calibri" w:hAnsi="Calibri" w:cs="Calibri"/>
          <w:color w:val="000000"/>
        </w:rPr>
      </w:pPr>
    </w:p>
    <w:p w14:paraId="40C3F8E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Collateralized (Guaranteed) Investment Contracts</w:t>
      </w:r>
      <w:r w:rsidRPr="009D518A">
        <w:rPr>
          <w:rFonts w:ascii="Calibri" w:eastAsia="Calibri" w:hAnsi="Calibri" w:cs="Calibri"/>
          <w:color w:val="000000"/>
        </w:rPr>
        <w:t xml:space="preserve"> </w:t>
      </w:r>
      <w:r w:rsidRPr="009D518A">
        <w:rPr>
          <w:rFonts w:ascii="Calibri" w:eastAsia="Calibri" w:hAnsi="Calibri" w:cs="Calibri"/>
          <w:b/>
          <w:bCs/>
          <w:color w:val="000000"/>
        </w:rPr>
        <w:t>(CIC)</w:t>
      </w:r>
      <w:r w:rsidRPr="009D518A">
        <w:rPr>
          <w:rFonts w:ascii="Calibri" w:eastAsia="Calibri" w:hAnsi="Calibri" w:cs="Calibri"/>
          <w:color w:val="000000"/>
        </w:rPr>
        <w:t>: A CIC is a fixed rate, fixed maturity contract similar to a bond that is typically collateralized by an insurance company.  However, unlike a bond, a CIC is always carried or valued at par.  CICs are primarily utilized for the investment of bond proceeds.</w:t>
      </w:r>
    </w:p>
    <w:p w14:paraId="39307934" w14:textId="77777777" w:rsidR="009D518A" w:rsidRPr="009D518A" w:rsidRDefault="009D518A" w:rsidP="009D518A">
      <w:pPr>
        <w:spacing w:after="0" w:line="240" w:lineRule="auto"/>
        <w:jc w:val="both"/>
        <w:rPr>
          <w:rFonts w:ascii="Calibri" w:eastAsia="Calibri" w:hAnsi="Calibri" w:cs="Calibri"/>
          <w:color w:val="000000"/>
        </w:rPr>
      </w:pPr>
    </w:p>
    <w:p w14:paraId="13A69E1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Commercial Paper: </w:t>
      </w:r>
      <w:r w:rsidRPr="009D518A">
        <w:rPr>
          <w:rFonts w:ascii="Calibri" w:eastAsia="Calibri" w:hAnsi="Calibri" w:cs="Calibri"/>
          <w:color w:val="000000"/>
        </w:rPr>
        <w:t>An unsecured short</w:t>
      </w:r>
      <w:r w:rsidRPr="009D518A">
        <w:rPr>
          <w:rFonts w:ascii="Calibri" w:eastAsia="Calibri" w:hAnsi="Calibri" w:cs="Calibri"/>
          <w:color w:val="000000"/>
        </w:rPr>
        <w:noBreakHyphen/>
        <w:t>term promissory note issued by corporations, with maturities typically ranging from 1 to 270 days, and usually transacts at a discount with no coupon payments.</w:t>
      </w:r>
    </w:p>
    <w:p w14:paraId="7A0B251A" w14:textId="77777777" w:rsidR="009D518A" w:rsidRPr="009D518A" w:rsidRDefault="009D518A" w:rsidP="009D518A">
      <w:pPr>
        <w:spacing w:after="0" w:line="240" w:lineRule="auto"/>
        <w:jc w:val="both"/>
        <w:rPr>
          <w:rFonts w:ascii="Calibri" w:eastAsia="Calibri" w:hAnsi="Calibri" w:cs="Calibri"/>
          <w:color w:val="000000"/>
        </w:rPr>
      </w:pPr>
    </w:p>
    <w:p w14:paraId="189B4D5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Comprehensive Annual Financial Report (CAFR):</w:t>
      </w:r>
      <w:r w:rsidRPr="009D518A">
        <w:rPr>
          <w:rFonts w:ascii="Calibri" w:eastAsia="Calibri" w:hAnsi="Calibri" w:cs="Calibri"/>
          <w:color w:val="000000"/>
        </w:rPr>
        <w:t xml:space="preserve">  The CAFR is the entity’s official annual financial report. It consists of three major sections: introductory, financial, and statistical. The introductory section furnishes general information on the entity’s structure, services, and environment. The financial section contains all basic financial statements and required supplementary information, as well as information on all individual funds and discretely presented component units not reported separately in the basic financial statements. The reported information is in conformity with accounting principles generally accepted in the United States of America (GAAP).  The financial section may also include supplementary information not required by GAAP. The statistical section provides trend data and nonfinancial data useful in interpreting the basic financial statements and is especially important for evaluating economic condition.</w:t>
      </w:r>
    </w:p>
    <w:p w14:paraId="18F38017" w14:textId="77777777" w:rsidR="009D518A" w:rsidRPr="009D518A" w:rsidRDefault="009D518A" w:rsidP="009D518A">
      <w:pPr>
        <w:spacing w:after="0" w:line="240" w:lineRule="auto"/>
        <w:jc w:val="both"/>
        <w:rPr>
          <w:rFonts w:ascii="Calibri" w:eastAsia="Calibri" w:hAnsi="Calibri" w:cs="Calibri"/>
          <w:b/>
          <w:color w:val="000000"/>
        </w:rPr>
      </w:pPr>
    </w:p>
    <w:p w14:paraId="5085B8A3"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Convexity</w:t>
      </w:r>
      <w:r w:rsidRPr="009D518A">
        <w:rPr>
          <w:rFonts w:ascii="Calibri" w:eastAsia="Calibri" w:hAnsi="Calibri" w:cs="Calibri"/>
          <w:color w:val="000000"/>
        </w:rPr>
        <w:t xml:space="preserve">: A measure of how much a fixed-income instrument’s duration changes when interest rates change.  A high convexity indicates greater sensitivity of a bond's price to interest rate changes. </w:t>
      </w:r>
    </w:p>
    <w:p w14:paraId="35092D97" w14:textId="77777777" w:rsidR="009D518A" w:rsidRPr="009D518A" w:rsidRDefault="009D518A" w:rsidP="009D518A">
      <w:pPr>
        <w:spacing w:after="0" w:line="240" w:lineRule="auto"/>
        <w:jc w:val="both"/>
        <w:rPr>
          <w:rFonts w:ascii="Calibri" w:eastAsia="Calibri" w:hAnsi="Calibri" w:cs="Calibri"/>
          <w:color w:val="000000"/>
        </w:rPr>
      </w:pPr>
    </w:p>
    <w:p w14:paraId="3C26D4A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Corporate Security</w:t>
      </w:r>
      <w:r w:rsidRPr="009D518A">
        <w:rPr>
          <w:rFonts w:ascii="Calibri" w:eastAsia="Calibri" w:hAnsi="Calibri" w:cs="Calibri"/>
          <w:color w:val="000000"/>
        </w:rPr>
        <w:t>: A debt obligation issued by a corporation.</w:t>
      </w:r>
    </w:p>
    <w:p w14:paraId="38B983A8" w14:textId="77777777" w:rsidR="009D518A" w:rsidRPr="009D518A" w:rsidRDefault="009D518A" w:rsidP="009D518A">
      <w:pPr>
        <w:spacing w:after="0" w:line="240" w:lineRule="auto"/>
        <w:jc w:val="both"/>
        <w:rPr>
          <w:rFonts w:ascii="Calibri" w:eastAsia="Calibri" w:hAnsi="Calibri" w:cs="Calibri"/>
          <w:color w:val="000000"/>
        </w:rPr>
      </w:pPr>
    </w:p>
    <w:p w14:paraId="3FFC8E3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Coupon or Coupon Rate:  </w:t>
      </w:r>
      <w:r w:rsidRPr="009D518A">
        <w:rPr>
          <w:rFonts w:ascii="Calibri" w:eastAsia="Calibri" w:hAnsi="Calibri" w:cs="Calibri"/>
          <w:color w:val="000000"/>
        </w:rPr>
        <w:t>The stated interest rate on a debt security that an issuer promises to pay.  The origin of the term "coupon" is that bonds were historically issued in the form of bearer certificates. Physical possession of the certificate was proof of ownership. Several coupons, one for each scheduled interest payment, were printed on the certificate.</w:t>
      </w:r>
    </w:p>
    <w:p w14:paraId="56E880B6" w14:textId="77777777" w:rsidR="009D518A" w:rsidRPr="009D518A" w:rsidRDefault="009D518A" w:rsidP="009D518A">
      <w:pPr>
        <w:spacing w:after="0" w:line="240" w:lineRule="auto"/>
        <w:jc w:val="both"/>
        <w:rPr>
          <w:rFonts w:ascii="Calibri" w:eastAsia="Calibri" w:hAnsi="Calibri" w:cs="Calibri"/>
          <w:b/>
          <w:color w:val="000000"/>
        </w:rPr>
      </w:pPr>
    </w:p>
    <w:p w14:paraId="309EB0D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Credit Quality</w:t>
      </w:r>
      <w:r w:rsidRPr="009D518A">
        <w:rPr>
          <w:rFonts w:ascii="Calibri" w:eastAsia="Calibri" w:hAnsi="Calibri" w:cs="Calibri"/>
          <w:color w:val="000000"/>
        </w:rPr>
        <w:t>: The measurement of the financial strength of a bond issuer.  This measurement helps an investor to understand an issuer's ability to make timely interest payments and repay the loan principal upon maturity.  Generally, the higher the credit quality of a bond issuer, the lower the interest rate paid by the issuer because the risk of default is lower.  Credit quality ratings are provided by nationally recognized rating agencies.</w:t>
      </w:r>
    </w:p>
    <w:p w14:paraId="52F20E94" w14:textId="77777777" w:rsidR="009D518A" w:rsidRPr="009D518A" w:rsidRDefault="009D518A" w:rsidP="009D518A">
      <w:pPr>
        <w:spacing w:after="0" w:line="240" w:lineRule="auto"/>
        <w:jc w:val="both"/>
        <w:rPr>
          <w:rFonts w:ascii="Calibri" w:eastAsia="Calibri" w:hAnsi="Calibri" w:cs="Calibri"/>
          <w:color w:val="000000"/>
        </w:rPr>
      </w:pPr>
    </w:p>
    <w:p w14:paraId="05047D70" w14:textId="703F7170" w:rsidR="00290AAF" w:rsidRPr="00290AAF" w:rsidRDefault="00290AAF" w:rsidP="009D518A">
      <w:pPr>
        <w:spacing w:after="0" w:line="240" w:lineRule="auto"/>
        <w:jc w:val="both"/>
        <w:rPr>
          <w:rFonts w:ascii="Calibri" w:eastAsia="Calibri" w:hAnsi="Calibri" w:cs="Calibri"/>
          <w:color w:val="000000"/>
        </w:rPr>
      </w:pPr>
      <w:r>
        <w:rPr>
          <w:rFonts w:ascii="Calibri" w:eastAsia="Calibri" w:hAnsi="Calibri" w:cs="Calibri"/>
          <w:b/>
          <w:color w:val="000000"/>
        </w:rPr>
        <w:t xml:space="preserve">Credit Rating:  </w:t>
      </w:r>
      <w:r w:rsidRPr="00290AAF">
        <w:rPr>
          <w:rFonts w:ascii="Calibri" w:eastAsia="Calibri" w:hAnsi="Calibri" w:cs="Calibri"/>
          <w:color w:val="000000"/>
        </w:rPr>
        <w:t>A credit rating is a quantified assessment of the creditworthiness of a borrower in general terms or with respect to a particular debt or financial obligation. A credit rating can be assigned to any entity that seeks to borrow money—an individual, corporation, state or provincial authority, or sovereign government.</w:t>
      </w:r>
    </w:p>
    <w:p w14:paraId="5B8710D4" w14:textId="77777777" w:rsidR="00290AAF" w:rsidRDefault="00290AAF" w:rsidP="009D518A">
      <w:pPr>
        <w:spacing w:after="0" w:line="240" w:lineRule="auto"/>
        <w:jc w:val="both"/>
        <w:rPr>
          <w:rFonts w:ascii="Calibri" w:eastAsia="Calibri" w:hAnsi="Calibri" w:cs="Calibri"/>
          <w:b/>
          <w:color w:val="000000"/>
        </w:rPr>
      </w:pPr>
    </w:p>
    <w:p w14:paraId="2B2616A3" w14:textId="184CF606"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Credit Risk</w:t>
      </w:r>
      <w:r w:rsidRPr="009D518A">
        <w:rPr>
          <w:rFonts w:ascii="Calibri" w:eastAsia="Calibri" w:hAnsi="Calibri" w:cs="Calibri"/>
          <w:color w:val="000000"/>
        </w:rPr>
        <w:t>: The risk to an investor that an issuer will default in the payment of interest and/or principal on a security.</w:t>
      </w:r>
    </w:p>
    <w:p w14:paraId="6F3F4101" w14:textId="77777777" w:rsidR="009D518A" w:rsidRPr="009D518A" w:rsidRDefault="009D518A" w:rsidP="009D518A">
      <w:pPr>
        <w:spacing w:after="0" w:line="240" w:lineRule="auto"/>
        <w:jc w:val="both"/>
        <w:rPr>
          <w:rFonts w:ascii="Calibri" w:eastAsia="Calibri" w:hAnsi="Calibri" w:cs="Calibri"/>
          <w:color w:val="000000"/>
        </w:rPr>
      </w:pPr>
    </w:p>
    <w:p w14:paraId="68ADC2BD"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Current Yield (Current Return)</w:t>
      </w:r>
      <w:r w:rsidRPr="009D518A">
        <w:rPr>
          <w:rFonts w:ascii="Calibri" w:eastAsia="Calibri" w:hAnsi="Calibri" w:cs="Calibri"/>
          <w:color w:val="000000"/>
        </w:rPr>
        <w:t>: A yield calculation determined by dividing the annual interest received on a security by the current market price of that security.</w:t>
      </w:r>
    </w:p>
    <w:p w14:paraId="6D14C4C5" w14:textId="77777777" w:rsidR="009D518A" w:rsidRPr="009D518A" w:rsidRDefault="009D518A" w:rsidP="009D518A">
      <w:pPr>
        <w:spacing w:after="0" w:line="240" w:lineRule="auto"/>
        <w:jc w:val="both"/>
        <w:rPr>
          <w:rFonts w:ascii="Calibri" w:eastAsia="Calibri" w:hAnsi="Calibri" w:cs="Calibri"/>
          <w:color w:val="000000"/>
        </w:rPr>
      </w:pPr>
    </w:p>
    <w:p w14:paraId="50CD99E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CUSIP:</w:t>
      </w:r>
      <w:r w:rsidRPr="009D518A">
        <w:rPr>
          <w:rFonts w:ascii="Calibri" w:eastAsia="Calibri" w:hAnsi="Calibri" w:cs="Calibri"/>
          <w:color w:val="000000"/>
        </w:rPr>
        <w:t xml:space="preserve"> A unique identifier for a security developed by the Committee on Uniform Security Identification</w:t>
      </w:r>
    </w:p>
    <w:p w14:paraId="7A96E35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Procedures (CUSIP). The identifier is a nine-digit alphanumeric character. The first six characters identify the issuer, the following two identify the issue, and the final character is a check digit.  CUSIPs are correlated to an alphabetical listing of the issuer’s name.</w:t>
      </w:r>
    </w:p>
    <w:p w14:paraId="099CCDC3" w14:textId="77777777" w:rsidR="009D518A" w:rsidRPr="009D518A" w:rsidRDefault="009D518A" w:rsidP="009D518A">
      <w:pPr>
        <w:spacing w:after="0" w:line="240" w:lineRule="auto"/>
        <w:jc w:val="both"/>
        <w:rPr>
          <w:rFonts w:ascii="Calibri" w:eastAsia="Calibri" w:hAnsi="Calibri" w:cs="Calibri"/>
          <w:color w:val="000000"/>
        </w:rPr>
      </w:pPr>
    </w:p>
    <w:p w14:paraId="5F8E723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Day Count Convention:  </w:t>
      </w:r>
      <w:r w:rsidRPr="009D518A">
        <w:rPr>
          <w:rFonts w:ascii="Calibri" w:eastAsia="Calibri" w:hAnsi="Calibri" w:cs="Calibri"/>
          <w:color w:val="000000"/>
        </w:rPr>
        <w:t>A day-count convention is the system used to calculate the amount of accrued interest or the present value when the next coupon payment is less than a full coupon period away. Each bond market and financial instrument has its own day-count convention, which varies depending on the type of instrument, whether the interest rate is fixed or floating, and the country of issuance. Among the most common conventions are 30/360 or 365, actual/360 or 365, and actual/actual.</w:t>
      </w:r>
    </w:p>
    <w:p w14:paraId="76C00FDA" w14:textId="77777777" w:rsidR="009D518A" w:rsidRPr="009D518A" w:rsidRDefault="009D518A" w:rsidP="009D518A">
      <w:pPr>
        <w:spacing w:after="0" w:line="240" w:lineRule="auto"/>
        <w:jc w:val="both"/>
        <w:rPr>
          <w:rFonts w:ascii="Calibri" w:eastAsia="Calibri" w:hAnsi="Calibri" w:cs="Calibri"/>
          <w:b/>
          <w:color w:val="000000"/>
        </w:rPr>
      </w:pPr>
    </w:p>
    <w:p w14:paraId="412D0BA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Dealer:  </w:t>
      </w:r>
      <w:r w:rsidRPr="009D518A">
        <w:rPr>
          <w:rFonts w:ascii="Calibri" w:eastAsia="Calibri" w:hAnsi="Calibri" w:cs="Calibri"/>
          <w:color w:val="000000"/>
        </w:rPr>
        <w:t>A dealer, as opposed to a broker, acts as a principal in all transactions, buying and selling for their own account. (see Broker).</w:t>
      </w:r>
    </w:p>
    <w:p w14:paraId="78256121" w14:textId="77777777" w:rsidR="009D518A" w:rsidRPr="009D518A" w:rsidRDefault="009D518A" w:rsidP="009D518A">
      <w:pPr>
        <w:spacing w:after="0" w:line="240" w:lineRule="auto"/>
        <w:jc w:val="both"/>
        <w:rPr>
          <w:rFonts w:ascii="Calibri" w:eastAsia="Calibri" w:hAnsi="Calibri" w:cs="Calibri"/>
          <w:b/>
          <w:color w:val="000000"/>
        </w:rPr>
      </w:pPr>
    </w:p>
    <w:p w14:paraId="4D0C302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Debenture:  </w:t>
      </w:r>
      <w:r w:rsidRPr="009D518A">
        <w:rPr>
          <w:rFonts w:ascii="Calibri" w:eastAsia="Calibri" w:hAnsi="Calibri" w:cs="Calibri"/>
          <w:color w:val="000000"/>
        </w:rPr>
        <w:t>A bond secured only by the general credit of the issuer and not by physical assets or collateral of the company.</w:t>
      </w:r>
    </w:p>
    <w:p w14:paraId="67A09ACA" w14:textId="77777777" w:rsidR="009D518A" w:rsidRPr="009D518A" w:rsidRDefault="009D518A" w:rsidP="009D518A">
      <w:pPr>
        <w:spacing w:after="0" w:line="240" w:lineRule="auto"/>
        <w:jc w:val="both"/>
        <w:rPr>
          <w:rFonts w:ascii="Calibri" w:eastAsia="Calibri" w:hAnsi="Calibri" w:cs="Calibri"/>
          <w:b/>
          <w:color w:val="000000"/>
        </w:rPr>
      </w:pPr>
    </w:p>
    <w:p w14:paraId="175F27E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Delivery (Settlement):  </w:t>
      </w:r>
      <w:r w:rsidRPr="009D518A">
        <w:rPr>
          <w:rFonts w:ascii="Calibri" w:eastAsia="Calibri" w:hAnsi="Calibri" w:cs="Calibri"/>
          <w:color w:val="000000"/>
        </w:rPr>
        <w:t xml:space="preserve">There are typically four types of delivery or settlement of securities: cash, which is the same day as the transaction occurred; regular, which trade day plus one; corporate, which is trade day plus two; and forward, which typically occurs three to thirty days after the trade date. </w:t>
      </w:r>
    </w:p>
    <w:p w14:paraId="388B8232" w14:textId="77777777" w:rsidR="009D518A" w:rsidRPr="009D518A" w:rsidRDefault="009D518A" w:rsidP="009D518A">
      <w:pPr>
        <w:spacing w:after="0" w:line="240" w:lineRule="auto"/>
        <w:jc w:val="both"/>
        <w:rPr>
          <w:rFonts w:ascii="Calibri" w:eastAsia="Calibri" w:hAnsi="Calibri" w:cs="Calibri"/>
          <w:b/>
          <w:color w:val="000000"/>
        </w:rPr>
      </w:pPr>
    </w:p>
    <w:p w14:paraId="5B0E7C7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Delivery Versus Payment (DVP): </w:t>
      </w:r>
      <w:r w:rsidRPr="009D518A">
        <w:rPr>
          <w:rFonts w:ascii="Calibri" w:eastAsia="Calibri" w:hAnsi="Calibri" w:cs="Calibri"/>
          <w:color w:val="000000"/>
        </w:rPr>
        <w:t>A type of securities transaction in which the purchaser pays for the securities when they are delivered either to the purchaser or his/her custodian.</w:t>
      </w:r>
    </w:p>
    <w:p w14:paraId="55CB0727" w14:textId="77777777" w:rsidR="009D518A" w:rsidRPr="009D518A" w:rsidRDefault="009D518A" w:rsidP="009D518A">
      <w:pPr>
        <w:spacing w:after="0" w:line="240" w:lineRule="auto"/>
        <w:jc w:val="both"/>
        <w:rPr>
          <w:rFonts w:ascii="Calibri" w:eastAsia="Calibri" w:hAnsi="Calibri" w:cs="Calibri"/>
          <w:b/>
          <w:color w:val="000000"/>
        </w:rPr>
      </w:pPr>
    </w:p>
    <w:p w14:paraId="68DE360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Derivative Security: </w:t>
      </w:r>
      <w:r w:rsidRPr="009D518A">
        <w:rPr>
          <w:rFonts w:ascii="Calibri" w:eastAsia="Calibri" w:hAnsi="Calibri" w:cs="Calibri"/>
          <w:color w:val="000000"/>
        </w:rPr>
        <w:t>Financial instrument created from, or whose value depends upon, one or more underlying assets or indexes of asset values.</w:t>
      </w:r>
    </w:p>
    <w:p w14:paraId="2FCBF36D" w14:textId="77777777" w:rsidR="009D518A" w:rsidRPr="009D518A" w:rsidRDefault="009D518A" w:rsidP="009D518A">
      <w:pPr>
        <w:spacing w:after="0" w:line="240" w:lineRule="auto"/>
        <w:jc w:val="both"/>
        <w:rPr>
          <w:rFonts w:ascii="Calibri" w:eastAsia="Calibri" w:hAnsi="Calibri" w:cs="Calibri"/>
          <w:color w:val="000000"/>
        </w:rPr>
      </w:pPr>
    </w:p>
    <w:p w14:paraId="3E46759D"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Discount: </w:t>
      </w:r>
      <w:r w:rsidRPr="009D518A">
        <w:rPr>
          <w:rFonts w:ascii="Calibri" w:eastAsia="Calibri" w:hAnsi="Calibri" w:cs="Calibri"/>
          <w:color w:val="000000"/>
        </w:rPr>
        <w:t>The amount by which the par value of a security exceeds the price paid for the security.</w:t>
      </w:r>
    </w:p>
    <w:p w14:paraId="301AD9C9" w14:textId="77777777" w:rsidR="009D518A" w:rsidRPr="009D518A" w:rsidRDefault="009D518A" w:rsidP="009D518A">
      <w:pPr>
        <w:spacing w:after="0" w:line="240" w:lineRule="auto"/>
        <w:jc w:val="both"/>
        <w:rPr>
          <w:rFonts w:ascii="Calibri" w:eastAsia="Calibri" w:hAnsi="Calibri" w:cs="Calibri"/>
          <w:color w:val="000000"/>
        </w:rPr>
      </w:pPr>
    </w:p>
    <w:p w14:paraId="1121AE04" w14:textId="3C0FCBF1" w:rsid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Discount Rate</w:t>
      </w:r>
      <w:r w:rsidRPr="009D518A">
        <w:rPr>
          <w:rFonts w:ascii="Calibri" w:eastAsia="Calibri" w:hAnsi="Calibri" w:cs="Calibri"/>
          <w:color w:val="000000"/>
        </w:rPr>
        <w:t xml:space="preserve">: The interest rate member banks pay the Federal Reserve when the banks use securities as collateral.  </w:t>
      </w:r>
    </w:p>
    <w:p w14:paraId="450FAFF3" w14:textId="05DDCE21" w:rsidR="00290AAF" w:rsidRDefault="00290AAF" w:rsidP="009D518A">
      <w:pPr>
        <w:spacing w:after="0" w:line="240" w:lineRule="auto"/>
        <w:jc w:val="both"/>
        <w:rPr>
          <w:rFonts w:ascii="Calibri" w:eastAsia="Calibri" w:hAnsi="Calibri" w:cs="Calibri"/>
          <w:color w:val="000000"/>
        </w:rPr>
      </w:pPr>
    </w:p>
    <w:p w14:paraId="29397B17" w14:textId="6F7136F8" w:rsidR="00290AAF" w:rsidRPr="009D518A" w:rsidRDefault="00290AAF" w:rsidP="009D518A">
      <w:pPr>
        <w:spacing w:after="0" w:line="240" w:lineRule="auto"/>
        <w:jc w:val="both"/>
        <w:rPr>
          <w:rFonts w:ascii="Calibri" w:eastAsia="Calibri" w:hAnsi="Calibri" w:cs="Calibri"/>
          <w:color w:val="000000"/>
        </w:rPr>
      </w:pPr>
      <w:r w:rsidRPr="00290AAF">
        <w:rPr>
          <w:rFonts w:ascii="Calibri" w:eastAsia="Calibri" w:hAnsi="Calibri" w:cs="Calibri"/>
          <w:b/>
          <w:color w:val="000000"/>
        </w:rPr>
        <w:t>Discount Securities:</w:t>
      </w:r>
      <w:r w:rsidRPr="00290AAF">
        <w:rPr>
          <w:rFonts w:ascii="Calibri" w:eastAsia="Calibri" w:hAnsi="Calibri" w:cs="Calibri"/>
          <w:color w:val="000000"/>
        </w:rPr>
        <w:t xml:space="preserve">  Non-interest bearing money market instruments that are issued at a discount and redeemed at maturity for full face value, e.g., U.S. Treasury Bills.</w:t>
      </w:r>
    </w:p>
    <w:p w14:paraId="541D998E" w14:textId="77777777" w:rsidR="009D518A" w:rsidRPr="009D518A" w:rsidRDefault="009D518A" w:rsidP="009D518A">
      <w:pPr>
        <w:spacing w:after="0" w:line="240" w:lineRule="auto"/>
        <w:jc w:val="both"/>
        <w:rPr>
          <w:rFonts w:ascii="Calibri" w:eastAsia="Calibri" w:hAnsi="Calibri" w:cs="Calibri"/>
          <w:color w:val="000000"/>
        </w:rPr>
      </w:pPr>
    </w:p>
    <w:p w14:paraId="0E98CF1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Diversification</w:t>
      </w:r>
      <w:r w:rsidRPr="009D518A">
        <w:rPr>
          <w:rFonts w:ascii="Calibri" w:eastAsia="Calibri" w:hAnsi="Calibri" w:cs="Calibri"/>
          <w:color w:val="000000"/>
        </w:rPr>
        <w:t>: A process of investing assets among a range of security types by sector, maturity, and quality rating.</w:t>
      </w:r>
    </w:p>
    <w:p w14:paraId="174CFAB9" w14:textId="77777777" w:rsidR="009D518A" w:rsidRPr="009D518A" w:rsidRDefault="009D518A" w:rsidP="009D518A">
      <w:pPr>
        <w:spacing w:after="0" w:line="240" w:lineRule="auto"/>
        <w:jc w:val="both"/>
        <w:rPr>
          <w:rFonts w:ascii="Calibri" w:eastAsia="Calibri" w:hAnsi="Calibri" w:cs="Calibri"/>
          <w:color w:val="000000"/>
        </w:rPr>
      </w:pPr>
    </w:p>
    <w:p w14:paraId="7F3B577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Duration</w:t>
      </w:r>
      <w:r w:rsidRPr="009D518A">
        <w:rPr>
          <w:rFonts w:ascii="Calibri" w:eastAsia="Calibri" w:hAnsi="Calibri" w:cs="Calibri"/>
          <w:color w:val="000000"/>
        </w:rPr>
        <w:t>: A measure of the timing of the cash flows, such as the interest payments and the principal repayment, to be received from a given fixed</w:t>
      </w:r>
      <w:r w:rsidRPr="009D518A">
        <w:rPr>
          <w:rFonts w:ascii="Calibri" w:eastAsia="Calibri" w:hAnsi="Calibri" w:cs="Calibri"/>
          <w:color w:val="000000"/>
        </w:rPr>
        <w:noBreakHyphen/>
        <w:t xml:space="preserve">income security.  This calculation is based on three variables: term to maturity, coupon rate, and yield to maturity.  The duration of a security is a useful indicator of its price volatility for given changes in interest rates.  There are three primary types of duration: Macaulay Duration, Modified Duration, and Effective Duration.  </w:t>
      </w:r>
    </w:p>
    <w:p w14:paraId="22980671" w14:textId="77777777" w:rsidR="009D518A" w:rsidRPr="009D518A" w:rsidRDefault="009D518A" w:rsidP="009D518A">
      <w:pPr>
        <w:spacing w:after="0" w:line="240" w:lineRule="auto"/>
        <w:jc w:val="both"/>
        <w:rPr>
          <w:rFonts w:ascii="Calibri" w:eastAsia="Calibri" w:hAnsi="Calibri" w:cs="Calibri"/>
          <w:color w:val="000000"/>
        </w:rPr>
      </w:pPr>
    </w:p>
    <w:p w14:paraId="3D3BE129" w14:textId="77777777" w:rsidR="009D518A" w:rsidRPr="009D518A" w:rsidRDefault="009D518A" w:rsidP="009D518A">
      <w:pPr>
        <w:spacing w:after="0" w:line="240" w:lineRule="auto"/>
        <w:ind w:left="720"/>
        <w:jc w:val="both"/>
        <w:rPr>
          <w:rFonts w:ascii="Calibri" w:eastAsia="Calibri" w:hAnsi="Calibri" w:cs="Calibri"/>
          <w:color w:val="000000"/>
        </w:rPr>
      </w:pPr>
      <w:r w:rsidRPr="009D518A">
        <w:rPr>
          <w:rFonts w:ascii="Calibri" w:eastAsia="Calibri" w:hAnsi="Calibri" w:cs="Calibri"/>
          <w:b/>
          <w:color w:val="000000"/>
        </w:rPr>
        <w:t>Macaulay Duration</w:t>
      </w:r>
      <w:r w:rsidRPr="009D518A">
        <w:rPr>
          <w:rFonts w:ascii="Calibri" w:eastAsia="Calibri" w:hAnsi="Calibri" w:cs="Calibri"/>
          <w:color w:val="000000"/>
        </w:rPr>
        <w:t xml:space="preserve"> was developed in 1938 by Frederic Macaulay, this form of duration measures the number of years required to recover the true cost of a bond, considering the present value of all coupon and principal payments received in the future. Thus, it is the only type of duration quoted in “years.” Interest rates are assumed to be continuously compounded.  </w:t>
      </w:r>
    </w:p>
    <w:p w14:paraId="3D39C001" w14:textId="77777777" w:rsidR="009D518A" w:rsidRPr="009D518A" w:rsidRDefault="009D518A" w:rsidP="009D518A">
      <w:pPr>
        <w:spacing w:after="0" w:line="240" w:lineRule="auto"/>
        <w:ind w:left="720"/>
        <w:jc w:val="both"/>
        <w:rPr>
          <w:rFonts w:ascii="Calibri" w:eastAsia="Calibri" w:hAnsi="Calibri" w:cs="Calibri"/>
          <w:color w:val="000000"/>
        </w:rPr>
      </w:pPr>
    </w:p>
    <w:p w14:paraId="6B87C598" w14:textId="77777777" w:rsidR="009D518A" w:rsidRPr="009D518A" w:rsidRDefault="009D518A" w:rsidP="009D518A">
      <w:pPr>
        <w:spacing w:after="0" w:line="240" w:lineRule="auto"/>
        <w:ind w:left="720"/>
        <w:jc w:val="both"/>
        <w:rPr>
          <w:rFonts w:ascii="Calibri" w:eastAsia="Calibri" w:hAnsi="Calibri" w:cs="Calibri"/>
          <w:color w:val="000000"/>
        </w:rPr>
      </w:pPr>
      <w:r w:rsidRPr="009D518A">
        <w:rPr>
          <w:rFonts w:ascii="Calibri" w:eastAsia="Calibri" w:hAnsi="Calibri" w:cs="Calibri"/>
          <w:b/>
          <w:color w:val="000000"/>
        </w:rPr>
        <w:t>Modified Duration</w:t>
      </w:r>
      <w:r w:rsidRPr="009D518A">
        <w:rPr>
          <w:rFonts w:ascii="Calibri" w:eastAsia="Calibri" w:hAnsi="Calibri" w:cs="Calibri"/>
          <w:color w:val="000000"/>
        </w:rPr>
        <w:t xml:space="preserve"> expands or modifies Macaulay duration to measure the responsiveness of a bond’s price to interest rate changes.  It is defined as the percentage change in price for a 100 basis point change in interest rates. The formula assumes that the cash flows of the bond do not change as interest rates change (which is not the case for most callable bonds).  </w:t>
      </w:r>
    </w:p>
    <w:p w14:paraId="52B45340" w14:textId="77777777" w:rsidR="009D518A" w:rsidRPr="009D518A" w:rsidRDefault="009D518A" w:rsidP="009D518A">
      <w:pPr>
        <w:spacing w:after="0" w:line="240" w:lineRule="auto"/>
        <w:ind w:left="720"/>
        <w:jc w:val="both"/>
        <w:rPr>
          <w:rFonts w:ascii="Calibri" w:eastAsia="Calibri" w:hAnsi="Calibri" w:cs="Calibri"/>
          <w:color w:val="000000"/>
        </w:rPr>
      </w:pPr>
    </w:p>
    <w:p w14:paraId="6AEAA1FA" w14:textId="77777777" w:rsidR="009D518A" w:rsidRPr="009D518A" w:rsidRDefault="009D518A" w:rsidP="009D518A">
      <w:pPr>
        <w:spacing w:after="0" w:line="240" w:lineRule="auto"/>
        <w:ind w:left="720"/>
        <w:jc w:val="both"/>
        <w:rPr>
          <w:rFonts w:ascii="Calibri" w:eastAsia="Calibri" w:hAnsi="Calibri" w:cs="Calibri"/>
          <w:color w:val="000000"/>
        </w:rPr>
      </w:pPr>
      <w:r w:rsidRPr="009D518A">
        <w:rPr>
          <w:rFonts w:ascii="Calibri" w:eastAsia="Calibri" w:hAnsi="Calibri" w:cs="Calibri"/>
          <w:b/>
          <w:color w:val="000000"/>
        </w:rPr>
        <w:t>Effective Duration</w:t>
      </w:r>
      <w:r w:rsidRPr="009D518A">
        <w:rPr>
          <w:rFonts w:ascii="Calibri" w:eastAsia="Calibri" w:hAnsi="Calibri" w:cs="Calibri"/>
          <w:color w:val="000000"/>
        </w:rPr>
        <w:t xml:space="preserve"> (sometimes called option-adjusted duration) further refines the modified duration calculation and is particularly useful when a portfolio contains callable securities. Effective duration requires the use of a complex model for pricing bonds that adjusts the price of the bond to reflect changes in the value of the bond’s “embedded options” (e.g., call options or a sinking fund schedule) based on the probability that the option will be exercised. Effective duration incorporates a bond’s yield, coupon, final maturity and call features into one number that indicates how price-sensitive a bond or portfolio is to changes in interest rates.  </w:t>
      </w:r>
    </w:p>
    <w:p w14:paraId="4654EAF5" w14:textId="77777777" w:rsidR="009D518A" w:rsidRPr="009D518A" w:rsidRDefault="009D518A" w:rsidP="009D518A">
      <w:pPr>
        <w:spacing w:after="0" w:line="240" w:lineRule="auto"/>
        <w:jc w:val="both"/>
        <w:rPr>
          <w:rFonts w:ascii="Calibri" w:eastAsia="Calibri" w:hAnsi="Calibri" w:cs="Calibri"/>
          <w:b/>
          <w:color w:val="000000"/>
        </w:rPr>
      </w:pPr>
    </w:p>
    <w:p w14:paraId="42C68BA6" w14:textId="77777777" w:rsidR="009D518A" w:rsidRPr="009D518A" w:rsidRDefault="009D518A" w:rsidP="009D518A">
      <w:pPr>
        <w:spacing w:after="0" w:line="240" w:lineRule="auto"/>
        <w:jc w:val="both"/>
        <w:rPr>
          <w:rFonts w:ascii="Calibri" w:eastAsia="Calibri" w:hAnsi="Calibri" w:cs="Calibri"/>
          <w:b/>
          <w:color w:val="000000"/>
        </w:rPr>
      </w:pPr>
      <w:r w:rsidRPr="009D518A">
        <w:rPr>
          <w:rFonts w:ascii="Calibri" w:eastAsia="Calibri" w:hAnsi="Calibri" w:cs="Calibri"/>
          <w:b/>
          <w:color w:val="000000"/>
        </w:rPr>
        <w:t xml:space="preserve">Earnings Apportionment:  </w:t>
      </w:r>
      <w:r w:rsidRPr="009D518A">
        <w:rPr>
          <w:rFonts w:ascii="Calibri" w:eastAsia="Calibri" w:hAnsi="Calibri" w:cs="Calibri"/>
          <w:color w:val="000000"/>
        </w:rPr>
        <w:t>The distribution of investment income to investment pool participants.</w:t>
      </w:r>
    </w:p>
    <w:p w14:paraId="55E8468E" w14:textId="77777777" w:rsidR="009D518A" w:rsidRPr="009D518A" w:rsidRDefault="009D518A" w:rsidP="009D518A">
      <w:pPr>
        <w:spacing w:after="0" w:line="240" w:lineRule="auto"/>
        <w:jc w:val="both"/>
        <w:rPr>
          <w:rFonts w:ascii="Calibri" w:eastAsia="Calibri" w:hAnsi="Calibri" w:cs="Calibri"/>
          <w:b/>
          <w:color w:val="000000"/>
        </w:rPr>
      </w:pPr>
    </w:p>
    <w:p w14:paraId="4AE79AF7"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Environmental, Social, and Governance (ESG):  </w:t>
      </w:r>
      <w:r w:rsidRPr="009D518A">
        <w:rPr>
          <w:rFonts w:ascii="Calibri" w:eastAsia="Calibri" w:hAnsi="Calibri" w:cs="Calibri"/>
          <w:color w:val="000000"/>
        </w:rPr>
        <w:t xml:space="preserve">(ESG) criteria are a set of standards for a company’s operations that socially conscious investors use to screen potential investments.  Environmental criteria consider how a company performs as a steward of nature.  Social criteria examine how it manages </w:t>
      </w:r>
      <w:r w:rsidRPr="009D518A">
        <w:rPr>
          <w:rFonts w:ascii="Calibri" w:eastAsia="Calibri" w:hAnsi="Calibri" w:cs="Calibri"/>
          <w:color w:val="000000"/>
        </w:rPr>
        <w:lastRenderedPageBreak/>
        <w:t>relationships with employees, suppliers, customers, and the communities where it operates.  Governance deals with a company’s leadership, executive pay, audits, internal controls, and shareholder rights.</w:t>
      </w:r>
    </w:p>
    <w:p w14:paraId="3230C65B" w14:textId="77777777" w:rsidR="009D518A" w:rsidRPr="009D518A" w:rsidRDefault="009D518A" w:rsidP="009D518A">
      <w:pPr>
        <w:spacing w:after="0" w:line="240" w:lineRule="auto"/>
        <w:jc w:val="both"/>
        <w:rPr>
          <w:rFonts w:ascii="Calibri" w:eastAsia="Calibri" w:hAnsi="Calibri" w:cs="Calibri"/>
          <w:b/>
          <w:color w:val="000000"/>
        </w:rPr>
      </w:pPr>
    </w:p>
    <w:p w14:paraId="1436559F" w14:textId="77777777" w:rsidR="009D518A" w:rsidRPr="009D518A" w:rsidRDefault="009D518A" w:rsidP="009D518A">
      <w:pPr>
        <w:spacing w:after="0" w:line="240" w:lineRule="auto"/>
        <w:jc w:val="both"/>
        <w:rPr>
          <w:rFonts w:ascii="Calibri" w:eastAsia="Calibri" w:hAnsi="Calibri" w:cs="Calibri"/>
          <w:b/>
          <w:color w:val="000000"/>
        </w:rPr>
      </w:pPr>
    </w:p>
    <w:p w14:paraId="037F6FF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Fair Value</w:t>
      </w:r>
      <w:r w:rsidRPr="009D518A">
        <w:rPr>
          <w:rFonts w:ascii="Calibri" w:eastAsia="Calibri" w:hAnsi="Calibri" w:cs="Calibri"/>
          <w:color w:val="000000"/>
        </w:rPr>
        <w:t>: The amount at which an investment could be exchanged in a current transaction between willing parties, other than in a forced or liquidation sale.</w:t>
      </w:r>
    </w:p>
    <w:p w14:paraId="4AF6D083" w14:textId="77777777" w:rsidR="009D518A" w:rsidRPr="009D518A" w:rsidRDefault="009D518A" w:rsidP="009D518A">
      <w:pPr>
        <w:spacing w:after="0" w:line="240" w:lineRule="auto"/>
        <w:jc w:val="both"/>
        <w:rPr>
          <w:rFonts w:ascii="Calibri" w:eastAsia="Calibri" w:hAnsi="Calibri" w:cs="Calibri"/>
          <w:b/>
          <w:color w:val="000000"/>
        </w:rPr>
      </w:pPr>
    </w:p>
    <w:p w14:paraId="79AA0881" w14:textId="67C76233" w:rsidR="00800744"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Federal Agricultural Mortgage Corporation (FAMC</w:t>
      </w:r>
      <w:r w:rsidR="00800744">
        <w:rPr>
          <w:rFonts w:ascii="Calibri" w:eastAsia="Calibri" w:hAnsi="Calibri" w:cs="Calibri"/>
          <w:b/>
          <w:color w:val="000000"/>
        </w:rPr>
        <w:t>/Farmer Mac</w:t>
      </w:r>
      <w:r w:rsidRPr="009D518A">
        <w:rPr>
          <w:rFonts w:ascii="Calibri" w:eastAsia="Calibri" w:hAnsi="Calibri" w:cs="Calibri"/>
          <w:b/>
          <w:color w:val="000000"/>
        </w:rPr>
        <w:t>):</w:t>
      </w:r>
      <w:r w:rsidRPr="009D518A">
        <w:rPr>
          <w:rFonts w:ascii="Calibri" w:eastAsia="Calibri" w:hAnsi="Calibri" w:cs="Calibri"/>
          <w:color w:val="000000"/>
        </w:rPr>
        <w:t xml:space="preserve">  </w:t>
      </w:r>
      <w:r w:rsidR="00800744" w:rsidRPr="00800744">
        <w:rPr>
          <w:rFonts w:ascii="Calibri" w:eastAsia="Calibri" w:hAnsi="Calibri" w:cs="Calibri"/>
          <w:color w:val="000000"/>
        </w:rPr>
        <w:t>Farmer Mac is a stockholder-owned, federally chartered corporation with the mission of providing a secondary market for a variety of loans made to borrowers in rural America. Farmer Mac was established under federal legislation in 1988.  Farmer Mac is an instrumentality of the United States and government-sponsored enterprise ("GSE") by virtue of the stat</w:t>
      </w:r>
      <w:r w:rsidR="001C048E">
        <w:rPr>
          <w:rFonts w:ascii="Calibri" w:eastAsia="Calibri" w:hAnsi="Calibri" w:cs="Calibri"/>
          <w:color w:val="000000"/>
        </w:rPr>
        <w:t xml:space="preserve">us conferred by its charter. </w:t>
      </w:r>
      <w:r w:rsidR="00800744" w:rsidRPr="00800744">
        <w:rPr>
          <w:rFonts w:ascii="Calibri" w:eastAsia="Calibri" w:hAnsi="Calibri" w:cs="Calibri"/>
          <w:color w:val="000000"/>
        </w:rPr>
        <w:t xml:space="preserve"> Farmer Mac is part of the Farm Credit System but is separate from the Federal Farm Credit Banks and Funding Corporation.  It is based </w:t>
      </w:r>
      <w:r w:rsidR="00800744">
        <w:rPr>
          <w:rFonts w:ascii="Calibri" w:eastAsia="Calibri" w:hAnsi="Calibri" w:cs="Calibri"/>
          <w:color w:val="000000"/>
        </w:rPr>
        <w:t>primarily in Washington, D.C, and</w:t>
      </w:r>
      <w:r w:rsidR="00800744" w:rsidRPr="00800744">
        <w:rPr>
          <w:rFonts w:ascii="Calibri" w:eastAsia="Calibri" w:hAnsi="Calibri" w:cs="Calibri"/>
          <w:color w:val="000000"/>
        </w:rPr>
        <w:t xml:space="preserve"> also </w:t>
      </w:r>
      <w:r w:rsidR="00800744">
        <w:rPr>
          <w:rFonts w:ascii="Calibri" w:eastAsia="Calibri" w:hAnsi="Calibri" w:cs="Calibri"/>
          <w:color w:val="000000"/>
        </w:rPr>
        <w:t>has</w:t>
      </w:r>
      <w:r w:rsidR="00800744" w:rsidRPr="00800744">
        <w:rPr>
          <w:rFonts w:ascii="Calibri" w:eastAsia="Calibri" w:hAnsi="Calibri" w:cs="Calibri"/>
          <w:color w:val="000000"/>
        </w:rPr>
        <w:t xml:space="preserve"> offices in Iowa, Idaho, and California.</w:t>
      </w:r>
    </w:p>
    <w:p w14:paraId="0B1531AE" w14:textId="77777777" w:rsidR="00800744" w:rsidRDefault="00800744" w:rsidP="009D518A">
      <w:pPr>
        <w:spacing w:after="0" w:line="240" w:lineRule="auto"/>
        <w:jc w:val="both"/>
        <w:rPr>
          <w:rFonts w:ascii="Calibri" w:eastAsia="Calibri" w:hAnsi="Calibri" w:cs="Calibri"/>
          <w:color w:val="000000"/>
        </w:rPr>
      </w:pPr>
    </w:p>
    <w:p w14:paraId="471F9A9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Federal Deposit Insurance Corporation (FDIC): </w:t>
      </w:r>
      <w:r w:rsidRPr="009D518A">
        <w:rPr>
          <w:rFonts w:ascii="Calibri" w:eastAsia="Calibri" w:hAnsi="Calibri" w:cs="Calibri"/>
          <w:color w:val="000000"/>
        </w:rPr>
        <w:t xml:space="preserve"> The FDIC preserves and promotes public confidence in the U.S. financial system by insuring deposits in banks and thrift institutions for at least $250,000; by identifying, monitoring and addressing risks to the deposit insurance funds; and by limiting the effect on the economy and the financial system when a bank or thrift institution fails.  An independent agency of the federal government, the FDIC was created in 1933 in response to the thousands of bank failures that occurred in the 1920s and early 1930s. Since the start of FDIC insurance on January 1, 1934, no depositor has lost a single cent of insured funds as a result of a failure. The FDIC receives no Congressional appropriations - it is funded by premiums that banks and thrift institutions pay for deposit insurance coverage and from earnings on investments in U.S. Treasury securities. The FDIC insures trillions of dollars of deposits in U.S. banks and thrifts - deposits in virtually every bank and thrift in the country.</w:t>
      </w:r>
    </w:p>
    <w:p w14:paraId="227A0CB7" w14:textId="77777777" w:rsidR="009D518A" w:rsidRPr="009D518A" w:rsidRDefault="009D518A" w:rsidP="009D518A">
      <w:pPr>
        <w:spacing w:after="0" w:line="240" w:lineRule="auto"/>
        <w:jc w:val="both"/>
        <w:rPr>
          <w:rFonts w:ascii="Calibri" w:eastAsia="Calibri" w:hAnsi="Calibri" w:cs="Calibri"/>
          <w:color w:val="000000"/>
        </w:rPr>
      </w:pPr>
    </w:p>
    <w:p w14:paraId="3F46800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Federal Funds (Fed Funds)</w:t>
      </w:r>
      <w:r w:rsidRPr="009D518A">
        <w:rPr>
          <w:rFonts w:ascii="Calibri" w:eastAsia="Calibri" w:hAnsi="Calibri" w:cs="Calibri"/>
          <w:color w:val="000000"/>
        </w:rPr>
        <w:t>:  Funds placed in Federal Reserve banks by depository institutions in excess of current reserve requirements.  These depository institutions may lend fed funds to each other overnight or on a longer basis.  They may also transfer funds among each other on a same</w:t>
      </w:r>
      <w:r w:rsidRPr="009D518A">
        <w:rPr>
          <w:rFonts w:ascii="Calibri" w:eastAsia="Calibri" w:hAnsi="Calibri" w:cs="Calibri"/>
          <w:color w:val="000000"/>
        </w:rPr>
        <w:noBreakHyphen/>
        <w:t xml:space="preserve">day basis through the Federal Reserve banking system. Fed funds are considered to be immediately available funds. </w:t>
      </w:r>
    </w:p>
    <w:p w14:paraId="0EA970B2" w14:textId="77777777" w:rsidR="009D518A" w:rsidRPr="009D518A" w:rsidRDefault="009D518A" w:rsidP="009D518A">
      <w:pPr>
        <w:spacing w:after="0" w:line="240" w:lineRule="auto"/>
        <w:jc w:val="both"/>
        <w:rPr>
          <w:rFonts w:ascii="Calibri" w:eastAsia="Calibri" w:hAnsi="Calibri" w:cs="Calibri"/>
          <w:color w:val="000000"/>
        </w:rPr>
      </w:pPr>
    </w:p>
    <w:p w14:paraId="1555175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Federal Funds Rate</w:t>
      </w:r>
      <w:r w:rsidRPr="009D518A">
        <w:rPr>
          <w:rFonts w:ascii="Calibri" w:eastAsia="Calibri" w:hAnsi="Calibri" w:cs="Calibri"/>
          <w:color w:val="000000"/>
        </w:rPr>
        <w:t>: Interest rate charged by one institution lending federal funds to the other.</w:t>
      </w:r>
    </w:p>
    <w:p w14:paraId="7C6CFA55" w14:textId="77777777" w:rsidR="009D518A" w:rsidRPr="009D518A" w:rsidRDefault="009D518A" w:rsidP="009D518A">
      <w:pPr>
        <w:spacing w:after="0" w:line="240" w:lineRule="auto"/>
        <w:jc w:val="both"/>
        <w:rPr>
          <w:rFonts w:ascii="Calibri" w:eastAsia="Calibri" w:hAnsi="Calibri" w:cs="Calibri"/>
          <w:color w:val="000000"/>
        </w:rPr>
      </w:pPr>
    </w:p>
    <w:p w14:paraId="7BCC82A4" w14:textId="77777777" w:rsidR="00800744"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Federal Farm Credit Bank (FFCB</w:t>
      </w:r>
      <w:r w:rsidR="00800744">
        <w:rPr>
          <w:rFonts w:ascii="Calibri" w:eastAsia="Calibri" w:hAnsi="Calibri" w:cs="Calibri"/>
          <w:b/>
          <w:color w:val="000000"/>
        </w:rPr>
        <w:t>/Farm Credit</w:t>
      </w:r>
      <w:r w:rsidRPr="009D518A">
        <w:rPr>
          <w:rFonts w:ascii="Calibri" w:eastAsia="Calibri" w:hAnsi="Calibri" w:cs="Calibri"/>
          <w:b/>
          <w:color w:val="000000"/>
        </w:rPr>
        <w:t>):</w:t>
      </w:r>
      <w:r w:rsidR="00800744">
        <w:rPr>
          <w:rFonts w:ascii="Calibri" w:eastAsia="Calibri" w:hAnsi="Calibri" w:cs="Calibri"/>
          <w:color w:val="000000"/>
        </w:rPr>
        <w:t xml:space="preserve">  </w:t>
      </w:r>
      <w:r w:rsidR="00800744" w:rsidRPr="00800744">
        <w:rPr>
          <w:rFonts w:ascii="Calibri" w:eastAsia="Calibri" w:hAnsi="Calibri" w:cs="Calibri"/>
          <w:color w:val="000000"/>
        </w:rPr>
        <w:t>The Federal Farm Cr</w:t>
      </w:r>
      <w:r w:rsidR="00800744">
        <w:rPr>
          <w:rFonts w:ascii="Calibri" w:eastAsia="Calibri" w:hAnsi="Calibri" w:cs="Calibri"/>
          <w:color w:val="000000"/>
        </w:rPr>
        <w:t xml:space="preserve">edit Banks Funding Corporation </w:t>
      </w:r>
      <w:r w:rsidR="00800744" w:rsidRPr="00800744">
        <w:rPr>
          <w:rFonts w:ascii="Calibri" w:eastAsia="Calibri" w:hAnsi="Calibri" w:cs="Calibri"/>
          <w:color w:val="000000"/>
        </w:rPr>
        <w:t xml:space="preserve">is responsible for issuing and marketing debt securities on behalf of the four Banks of the Farm Credit System: AgFirst </w:t>
      </w:r>
      <w:proofErr w:type="spellStart"/>
      <w:r w:rsidR="00800744" w:rsidRPr="00800744">
        <w:rPr>
          <w:rFonts w:ascii="Calibri" w:eastAsia="Calibri" w:hAnsi="Calibri" w:cs="Calibri"/>
          <w:color w:val="000000"/>
        </w:rPr>
        <w:t>FCB</w:t>
      </w:r>
      <w:proofErr w:type="spellEnd"/>
      <w:r w:rsidR="00800744" w:rsidRPr="00800744">
        <w:rPr>
          <w:rFonts w:ascii="Calibri" w:eastAsia="Calibri" w:hAnsi="Calibri" w:cs="Calibri"/>
          <w:color w:val="000000"/>
        </w:rPr>
        <w:t xml:space="preserve">, Agribank </w:t>
      </w:r>
      <w:proofErr w:type="spellStart"/>
      <w:r w:rsidR="00800744" w:rsidRPr="00800744">
        <w:rPr>
          <w:rFonts w:ascii="Calibri" w:eastAsia="Calibri" w:hAnsi="Calibri" w:cs="Calibri"/>
          <w:color w:val="000000"/>
        </w:rPr>
        <w:t>FCB</w:t>
      </w:r>
      <w:proofErr w:type="spellEnd"/>
      <w:r w:rsidR="00800744" w:rsidRPr="00800744">
        <w:rPr>
          <w:rFonts w:ascii="Calibri" w:eastAsia="Calibri" w:hAnsi="Calibri" w:cs="Calibri"/>
          <w:color w:val="000000"/>
        </w:rPr>
        <w:t xml:space="preserve">, </w:t>
      </w:r>
      <w:proofErr w:type="spellStart"/>
      <w:r w:rsidR="00800744" w:rsidRPr="00800744">
        <w:rPr>
          <w:rFonts w:ascii="Calibri" w:eastAsia="Calibri" w:hAnsi="Calibri" w:cs="Calibri"/>
          <w:color w:val="000000"/>
        </w:rPr>
        <w:t>FCB</w:t>
      </w:r>
      <w:proofErr w:type="spellEnd"/>
      <w:r w:rsidR="00800744" w:rsidRPr="00800744">
        <w:rPr>
          <w:rFonts w:ascii="Calibri" w:eastAsia="Calibri" w:hAnsi="Calibri" w:cs="Calibri"/>
          <w:color w:val="000000"/>
        </w:rPr>
        <w:t xml:space="preserve"> of Texas. And CoBank, ACB. These four Banks (located in South Carolina, Minnesota, Texas, and Colorado) are a leading provider of loans, leases and services to rural communities and U.S. agriculture.  The Farm Credit System is a government-sponsored enterprise, created in 1916 and dedicated to assuring a steady source of financing to qualified borrowers.  The Federal Farm Credit Banks Funding Corporation is based in Jersey City, New Jersey.</w:t>
      </w:r>
    </w:p>
    <w:p w14:paraId="6FBCBFD7" w14:textId="77777777" w:rsidR="00800744" w:rsidRDefault="00800744" w:rsidP="009D518A">
      <w:pPr>
        <w:spacing w:after="0" w:line="240" w:lineRule="auto"/>
        <w:jc w:val="both"/>
        <w:rPr>
          <w:rFonts w:ascii="Calibri" w:eastAsia="Calibri" w:hAnsi="Calibri" w:cs="Calibri"/>
          <w:color w:val="000000"/>
        </w:rPr>
      </w:pPr>
    </w:p>
    <w:p w14:paraId="37189B75"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Federal Home Loan Banks (FHLB</w:t>
      </w:r>
      <w:r w:rsidR="00800744">
        <w:rPr>
          <w:rFonts w:ascii="Calibri" w:eastAsia="Calibri" w:hAnsi="Calibri" w:cs="Calibri"/>
          <w:b/>
          <w:color w:val="000000"/>
        </w:rPr>
        <w:t>/Home Loan</w:t>
      </w:r>
      <w:r w:rsidRPr="009D518A">
        <w:rPr>
          <w:rFonts w:ascii="Calibri" w:eastAsia="Calibri" w:hAnsi="Calibri" w:cs="Calibri"/>
          <w:b/>
          <w:color w:val="000000"/>
        </w:rPr>
        <w:t>):</w:t>
      </w:r>
      <w:r w:rsidRPr="009D518A">
        <w:rPr>
          <w:rFonts w:ascii="Calibri" w:eastAsia="Calibri" w:hAnsi="Calibri" w:cs="Calibri"/>
          <w:color w:val="000000"/>
        </w:rPr>
        <w:t xml:space="preserve">  The Federal Home Loan Banks are 11 U.S. government-sponsored banks that provide reliable liquidity to member financial institutions to support housing finance and community investment. With their members, the FHLB represents the largest collective source of home mortgage and community credit in the United States.  FHLB was created by Congress in 1932 by the Federal Home Loan Bank Act and is located in Reston, Virginia.</w:t>
      </w:r>
    </w:p>
    <w:p w14:paraId="4610B73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 xml:space="preserve"> </w:t>
      </w:r>
    </w:p>
    <w:p w14:paraId="0A50848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lastRenderedPageBreak/>
        <w:t>Federal Home Loan Mortgage Corporation (FHLMC</w:t>
      </w:r>
      <w:r w:rsidR="00800744">
        <w:rPr>
          <w:rFonts w:ascii="Calibri" w:eastAsia="Calibri" w:hAnsi="Calibri" w:cs="Calibri"/>
          <w:b/>
          <w:color w:val="000000"/>
        </w:rPr>
        <w:t>/Freddie Mac</w:t>
      </w:r>
      <w:r w:rsidRPr="009D518A">
        <w:rPr>
          <w:rFonts w:ascii="Calibri" w:eastAsia="Calibri" w:hAnsi="Calibri" w:cs="Calibri"/>
          <w:b/>
          <w:color w:val="000000"/>
        </w:rPr>
        <w:t>)</w:t>
      </w:r>
      <w:r w:rsidRPr="009D518A">
        <w:rPr>
          <w:rFonts w:ascii="Calibri" w:eastAsia="Calibri" w:hAnsi="Calibri" w:cs="Calibri"/>
          <w:color w:val="000000"/>
        </w:rPr>
        <w:t xml:space="preserve">:  </w:t>
      </w:r>
      <w:r w:rsidR="00800744">
        <w:rPr>
          <w:rFonts w:ascii="Calibri" w:eastAsia="Calibri" w:hAnsi="Calibri" w:cs="Calibri"/>
          <w:color w:val="000000"/>
        </w:rPr>
        <w:t>Freddie Mac</w:t>
      </w:r>
      <w:r w:rsidRPr="009D518A">
        <w:rPr>
          <w:rFonts w:ascii="Calibri" w:eastAsia="Calibri" w:hAnsi="Calibri" w:cs="Calibri"/>
          <w:color w:val="000000"/>
        </w:rPr>
        <w:t xml:space="preserve"> was created by Congress in 1970 to expand the secondary market for mortgages in the US. Along with the Federal National Mortgage Association, buys mortgages on the secondary market, pools them, and sells them as a mortgage-backed security to investors on the open market.  This secondary mortgage market increases the supply of money available for mortgage lending and increases the money available for new home purchases.  Freddie Mac, is headquartered in McLean, Virginia. </w:t>
      </w:r>
    </w:p>
    <w:p w14:paraId="4DFA0670" w14:textId="77777777" w:rsidR="009D518A" w:rsidRPr="009D518A" w:rsidRDefault="009D518A" w:rsidP="009D518A">
      <w:pPr>
        <w:spacing w:after="0" w:line="240" w:lineRule="auto"/>
        <w:jc w:val="both"/>
        <w:rPr>
          <w:rFonts w:ascii="Calibri" w:eastAsia="Calibri" w:hAnsi="Calibri" w:cs="Calibri"/>
          <w:color w:val="000000"/>
        </w:rPr>
      </w:pPr>
    </w:p>
    <w:p w14:paraId="0BD5E223"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Federal National Mortgage Association (FNMA</w:t>
      </w:r>
      <w:r w:rsidR="00800744">
        <w:rPr>
          <w:rFonts w:ascii="Calibri" w:eastAsia="Calibri" w:hAnsi="Calibri" w:cs="Calibri"/>
          <w:b/>
          <w:color w:val="000000"/>
        </w:rPr>
        <w:t>/Fannie Mae</w:t>
      </w:r>
      <w:r w:rsidRPr="009D518A">
        <w:rPr>
          <w:rFonts w:ascii="Calibri" w:eastAsia="Calibri" w:hAnsi="Calibri" w:cs="Calibri"/>
          <w:b/>
          <w:color w:val="000000"/>
        </w:rPr>
        <w:t>):</w:t>
      </w:r>
      <w:r w:rsidRPr="009D518A">
        <w:rPr>
          <w:rFonts w:ascii="Calibri" w:eastAsia="Calibri" w:hAnsi="Calibri" w:cs="Calibri"/>
          <w:color w:val="000000"/>
        </w:rPr>
        <w:t xml:space="preserve">  </w:t>
      </w:r>
      <w:r w:rsidR="00800744">
        <w:rPr>
          <w:rFonts w:ascii="Calibri" w:eastAsia="Calibri" w:hAnsi="Calibri" w:cs="Calibri"/>
          <w:color w:val="000000"/>
        </w:rPr>
        <w:t>Fannie Mae</w:t>
      </w:r>
      <w:r w:rsidRPr="009D518A">
        <w:rPr>
          <w:rFonts w:ascii="Calibri" w:eastAsia="Calibri" w:hAnsi="Calibri" w:cs="Calibri"/>
          <w:color w:val="000000"/>
        </w:rPr>
        <w:t xml:space="preserve"> was created Congress in 1938 to provide supplemental liquidity to the mortgage market, similar to the FHLMC.  </w:t>
      </w:r>
      <w:r w:rsidR="00800744">
        <w:rPr>
          <w:rFonts w:ascii="Calibri" w:eastAsia="Calibri" w:hAnsi="Calibri" w:cs="Calibri"/>
          <w:color w:val="000000"/>
        </w:rPr>
        <w:t>Fannie Mae</w:t>
      </w:r>
      <w:r w:rsidRPr="009D518A">
        <w:rPr>
          <w:rFonts w:ascii="Calibri" w:eastAsia="Calibri" w:hAnsi="Calibri" w:cs="Calibri"/>
          <w:color w:val="000000"/>
        </w:rPr>
        <w:t>, is headquartered in Washington, D.C.</w:t>
      </w:r>
    </w:p>
    <w:p w14:paraId="27511E53" w14:textId="77777777" w:rsidR="009D518A" w:rsidRPr="009D518A" w:rsidRDefault="009D518A" w:rsidP="009D518A">
      <w:pPr>
        <w:spacing w:after="0" w:line="240" w:lineRule="auto"/>
        <w:jc w:val="both"/>
        <w:rPr>
          <w:rFonts w:ascii="Calibri" w:eastAsia="Calibri" w:hAnsi="Calibri" w:cs="Calibri"/>
          <w:color w:val="000000"/>
        </w:rPr>
      </w:pPr>
    </w:p>
    <w:p w14:paraId="6E05262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Federal Open Market Committee (FOMC): </w:t>
      </w:r>
      <w:r w:rsidRPr="009D518A">
        <w:rPr>
          <w:rFonts w:ascii="Calibri" w:eastAsia="Calibri" w:hAnsi="Calibri" w:cs="Calibri"/>
          <w:color w:val="000000"/>
        </w:rPr>
        <w:t>The FOMC is the branch of the Federal Reserve Board that determines the direction of monetary policy. The FOMC meets several times a year to discuss whether to maintain or change current policy.</w:t>
      </w:r>
    </w:p>
    <w:p w14:paraId="569665E3" w14:textId="77777777" w:rsidR="009D518A" w:rsidRPr="009D518A" w:rsidRDefault="009D518A" w:rsidP="009D518A">
      <w:pPr>
        <w:spacing w:after="0" w:line="240" w:lineRule="auto"/>
        <w:jc w:val="both"/>
        <w:rPr>
          <w:rFonts w:ascii="Calibri" w:eastAsia="Calibri" w:hAnsi="Calibri" w:cs="Calibri"/>
          <w:b/>
          <w:color w:val="000000"/>
        </w:rPr>
      </w:pPr>
    </w:p>
    <w:p w14:paraId="62CF91B3"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color w:val="000000"/>
        </w:rPr>
        <w:t xml:space="preserve">Federal Reserve Board (FRB): </w:t>
      </w:r>
      <w:r w:rsidRPr="009D518A">
        <w:rPr>
          <w:rFonts w:ascii="Calibri" w:eastAsia="Calibri" w:hAnsi="Calibri" w:cs="Calibri"/>
          <w:bCs/>
          <w:color w:val="000000"/>
        </w:rPr>
        <w:t>The governing body of the Federal Reserve System (12 regional Federal banks monitoring the commercial and savings banks in their regions).  The board establishes policies on such key matters as reserve requirements and other regulations, sets the discount rate, and tightens or loosens the availability of credit in the economy.</w:t>
      </w:r>
    </w:p>
    <w:p w14:paraId="501570DE" w14:textId="77777777" w:rsidR="009D518A" w:rsidRPr="009D518A" w:rsidRDefault="009D518A" w:rsidP="009D518A">
      <w:pPr>
        <w:spacing w:after="0" w:line="240" w:lineRule="auto"/>
        <w:jc w:val="both"/>
        <w:rPr>
          <w:rFonts w:ascii="Calibri" w:eastAsia="Calibri" w:hAnsi="Calibri" w:cs="Calibri"/>
          <w:color w:val="000000"/>
        </w:rPr>
      </w:pPr>
    </w:p>
    <w:p w14:paraId="6197E39E"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Federal Reserve System:</w:t>
      </w:r>
      <w:r w:rsidRPr="009D518A">
        <w:rPr>
          <w:rFonts w:ascii="Calibri" w:eastAsia="Arial" w:hAnsi="Calibri" w:cs="Calibri"/>
          <w:color w:val="000000"/>
          <w:spacing w:val="-1"/>
        </w:rPr>
        <w:t xml:space="preserve">  The central bank of the United States created by Congress and consisting of a seven member Board of Governors in Washington, D.C., 12 regional banks and about 6,000 commercial banks that are members of the system.  These member banks hold stock in the Federal Reserve Banks and earn dividends.</w:t>
      </w:r>
    </w:p>
    <w:p w14:paraId="1B03FE9D"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p>
    <w:p w14:paraId="034B9B3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Financial Industry Regulatory Authority (FINRA):</w:t>
      </w:r>
      <w:r w:rsidRPr="009D518A">
        <w:rPr>
          <w:rFonts w:ascii="Calibri" w:eastAsia="Calibri" w:hAnsi="Calibri" w:cs="Calibri"/>
          <w:color w:val="000000"/>
        </w:rPr>
        <w:t xml:space="preserve">  FINRA is a private corporation, authorized by Congress, that acts as a self-regulatory organization. FINRA is the successor to the National Association of Securities Dealers, Inc. and the member regulation, enforcement, and arbitration operations of the New York Stock Exchange.  FINRA also provides BrokerCheck, which is a service to obtain information regarding brokers, brokerage firms, and investment advisors.  </w:t>
      </w:r>
    </w:p>
    <w:p w14:paraId="068D453A" w14:textId="77777777" w:rsidR="009D518A" w:rsidRPr="009D518A" w:rsidRDefault="009D518A" w:rsidP="009D518A">
      <w:pPr>
        <w:spacing w:after="0" w:line="240" w:lineRule="auto"/>
        <w:jc w:val="both"/>
        <w:rPr>
          <w:rFonts w:ascii="Calibri" w:eastAsia="Calibri" w:hAnsi="Calibri" w:cs="Calibri"/>
          <w:color w:val="000000"/>
        </w:rPr>
      </w:pPr>
    </w:p>
    <w:p w14:paraId="74A56BCE"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Fitch:  </w:t>
      </w:r>
      <w:r w:rsidRPr="009D518A">
        <w:rPr>
          <w:rFonts w:ascii="Calibri" w:eastAsia="Calibri" w:hAnsi="Calibri" w:cs="Calibri"/>
          <w:bCs/>
          <w:color w:val="000000"/>
        </w:rPr>
        <w:t xml:space="preserve">A credit rating agency that as one of its services, analyzes and rates securities. Fitch Ratings is one of the “Big Three” credit rating agencies, along with Moody’s and S&amp;P.  </w:t>
      </w:r>
    </w:p>
    <w:p w14:paraId="0925B557" w14:textId="77777777" w:rsidR="009D518A" w:rsidRPr="009D518A" w:rsidRDefault="009D518A" w:rsidP="009D518A">
      <w:pPr>
        <w:spacing w:after="0" w:line="240" w:lineRule="auto"/>
        <w:jc w:val="both"/>
        <w:rPr>
          <w:rFonts w:ascii="Calibri" w:eastAsia="Calibri" w:hAnsi="Calibri" w:cs="Calibri"/>
          <w:b/>
          <w:bCs/>
          <w:color w:val="000000"/>
        </w:rPr>
      </w:pPr>
    </w:p>
    <w:p w14:paraId="06AA8A6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Floating Rate Securities</w:t>
      </w:r>
      <w:r w:rsidRPr="009D518A">
        <w:rPr>
          <w:rFonts w:ascii="Calibri" w:eastAsia="Calibri" w:hAnsi="Calibri" w:cs="Calibri"/>
          <w:color w:val="000000"/>
        </w:rPr>
        <w:t xml:space="preserve">: A bond whose interest rate is adjusted according to the interest rates of other financial instruments.  These instruments provide protection against rising interest rates, but pay lower yields than fixed rate notes. </w:t>
      </w:r>
    </w:p>
    <w:p w14:paraId="578B2817" w14:textId="77777777" w:rsidR="009D518A" w:rsidRPr="009D518A" w:rsidRDefault="009D518A" w:rsidP="009D518A">
      <w:pPr>
        <w:spacing w:after="0" w:line="240" w:lineRule="auto"/>
        <w:jc w:val="both"/>
        <w:rPr>
          <w:rFonts w:ascii="Calibri" w:eastAsia="Calibri" w:hAnsi="Calibri" w:cs="Calibri"/>
          <w:color w:val="000000"/>
        </w:rPr>
      </w:pPr>
    </w:p>
    <w:p w14:paraId="108DE26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Futures:</w:t>
      </w:r>
      <w:r w:rsidRPr="009D518A">
        <w:rPr>
          <w:rFonts w:ascii="Calibri" w:eastAsia="Calibri" w:hAnsi="Calibri" w:cs="Calibri"/>
          <w:color w:val="000000"/>
        </w:rPr>
        <w:t xml:space="preserve"> Futures are derivative financial contracts that obligate the parties to transact an asset at a predetermined future date and price. Here, the buyer must purchase or the seller must sell the underlying asset at the set price, regardless of the current market price at the expiration date.</w:t>
      </w:r>
    </w:p>
    <w:p w14:paraId="2E347B44" w14:textId="77777777" w:rsidR="009D518A" w:rsidRPr="009D518A" w:rsidRDefault="009D518A" w:rsidP="009D518A">
      <w:pPr>
        <w:spacing w:after="0" w:line="240" w:lineRule="auto"/>
        <w:jc w:val="both"/>
        <w:rPr>
          <w:rFonts w:ascii="Calibri" w:eastAsia="Calibri" w:hAnsi="Calibri" w:cs="Calibri"/>
          <w:color w:val="000000"/>
        </w:rPr>
      </w:pPr>
    </w:p>
    <w:p w14:paraId="2E69A95C"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Generally Accepted Accounting Principles (GAAP):  </w:t>
      </w:r>
      <w:r w:rsidRPr="009D518A">
        <w:rPr>
          <w:rFonts w:ascii="Calibri" w:eastAsia="Calibri" w:hAnsi="Calibri" w:cs="Calibri"/>
          <w:bCs/>
          <w:color w:val="000000"/>
        </w:rPr>
        <w:t>GAAP refer to a common set of accepted accounting principles, standards, and procedures that companies and their accountants must follow when they compile their financial statements. GAAP is a combination of authoritative standards (set by policy boards) and the commonly accepted ways of recording and reporting accounting information. GAAP improves the clarity of the communication of financial information.</w:t>
      </w:r>
    </w:p>
    <w:p w14:paraId="2692F71B" w14:textId="77777777" w:rsidR="009D518A" w:rsidRPr="009D518A" w:rsidRDefault="009D518A" w:rsidP="009D518A">
      <w:pPr>
        <w:spacing w:after="0" w:line="240" w:lineRule="auto"/>
        <w:jc w:val="both"/>
        <w:rPr>
          <w:rFonts w:ascii="Calibri" w:eastAsia="Calibri" w:hAnsi="Calibri" w:cs="Calibri"/>
          <w:b/>
          <w:bCs/>
          <w:color w:val="000000"/>
        </w:rPr>
      </w:pPr>
    </w:p>
    <w:p w14:paraId="6F1E81A0" w14:textId="6556BE41" w:rsid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lastRenderedPageBreak/>
        <w:t xml:space="preserve">Governmental Account Standards Board (GASB): </w:t>
      </w:r>
      <w:r w:rsidRPr="009D518A">
        <w:rPr>
          <w:rFonts w:ascii="Calibri" w:eastAsia="Calibri" w:hAnsi="Calibri" w:cs="Calibri"/>
          <w:color w:val="000000"/>
        </w:rPr>
        <w:t xml:space="preserve">GASB is a non-profit entity that was organized in 1984 by the Financial Accounting Foundation (FAF) to establish standards of financial accounting and reporting for state and local governmental entities.  Its standards guide the preparation of external financial reports of those entities. </w:t>
      </w:r>
    </w:p>
    <w:p w14:paraId="4BCDAEAF" w14:textId="77777777" w:rsidR="00290AAF" w:rsidRPr="009D518A" w:rsidRDefault="00290AAF" w:rsidP="009D518A">
      <w:pPr>
        <w:spacing w:after="0" w:line="240" w:lineRule="auto"/>
        <w:jc w:val="both"/>
        <w:rPr>
          <w:rFonts w:ascii="Calibri" w:eastAsia="Calibri" w:hAnsi="Calibri" w:cs="Calibri"/>
          <w:color w:val="000000"/>
        </w:rPr>
      </w:pPr>
    </w:p>
    <w:p w14:paraId="005FC786" w14:textId="77777777" w:rsidR="009D518A" w:rsidRPr="009D518A" w:rsidRDefault="009D518A" w:rsidP="00BE6103">
      <w:pPr>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Government National Mortgage Association (GNMA</w:t>
      </w:r>
      <w:r w:rsidR="00BE6103">
        <w:rPr>
          <w:rFonts w:ascii="Calibri" w:eastAsia="Arial" w:hAnsi="Calibri" w:cs="Calibri"/>
          <w:b/>
          <w:color w:val="000000"/>
          <w:spacing w:val="-1"/>
        </w:rPr>
        <w:t>/Ginnie Mae</w:t>
      </w:r>
      <w:r w:rsidRPr="009D518A">
        <w:rPr>
          <w:rFonts w:ascii="Calibri" w:eastAsia="Arial" w:hAnsi="Calibri" w:cs="Calibri"/>
          <w:b/>
          <w:color w:val="000000"/>
          <w:spacing w:val="-1"/>
        </w:rPr>
        <w:t>):</w:t>
      </w:r>
      <w:r w:rsidRPr="009D518A">
        <w:rPr>
          <w:rFonts w:ascii="Calibri" w:eastAsia="Arial" w:hAnsi="Calibri" w:cs="Calibri"/>
          <w:color w:val="000000"/>
          <w:spacing w:val="-1"/>
        </w:rPr>
        <w:t xml:space="preserve">  Ginnie Mae is a U.S. government corporation that guarantees the timely payment of principal and interest on mortgage-backed securities issued by approved GNMA lenders.  That assurance allows the mortgage lenders to obtain a better price for these offerings in the capital markets. Those improved proceeds, in turn, allow the lenders to make additional mortgage loans, and at lower costs to finance.  GNMA was created by Congress in 1968 and is headquartered in Washington D.C. </w:t>
      </w:r>
    </w:p>
    <w:p w14:paraId="7575FE79" w14:textId="77777777" w:rsidR="00BE6103" w:rsidRDefault="00BE6103" w:rsidP="00BE6103">
      <w:pPr>
        <w:spacing w:after="0" w:line="240" w:lineRule="auto"/>
        <w:jc w:val="both"/>
        <w:rPr>
          <w:rFonts w:ascii="Calibri" w:eastAsia="Calibri" w:hAnsi="Calibri" w:cs="Calibri"/>
          <w:b/>
          <w:color w:val="000000"/>
        </w:rPr>
      </w:pPr>
    </w:p>
    <w:p w14:paraId="4AB05AE6" w14:textId="77777777" w:rsidR="009D518A" w:rsidRPr="009D518A" w:rsidRDefault="009D518A" w:rsidP="00BE6103">
      <w:pPr>
        <w:spacing w:after="0" w:line="240" w:lineRule="auto"/>
        <w:jc w:val="both"/>
        <w:rPr>
          <w:rFonts w:ascii="Calibri" w:eastAsia="Calibri" w:hAnsi="Calibri" w:cs="Calibri"/>
          <w:color w:val="000000"/>
        </w:rPr>
      </w:pPr>
      <w:r w:rsidRPr="009D518A">
        <w:rPr>
          <w:rFonts w:ascii="Calibri" w:eastAsia="Calibri" w:hAnsi="Calibri" w:cs="Calibri"/>
          <w:b/>
          <w:color w:val="000000"/>
        </w:rPr>
        <w:t>Government Securities</w:t>
      </w:r>
      <w:r w:rsidRPr="009D518A">
        <w:rPr>
          <w:rFonts w:ascii="Calibri" w:eastAsia="Calibri" w:hAnsi="Calibri" w:cs="Calibri"/>
          <w:color w:val="000000"/>
        </w:rPr>
        <w:t>:  An obligation backed by the full faith and credit of the U.S. government.  These securities are regarded as the highest quality of investment securities available in the U.S. securities market. See "Treasury Bills, Notes, and Bonds."</w:t>
      </w:r>
    </w:p>
    <w:p w14:paraId="6A9C03D7" w14:textId="77777777" w:rsidR="009D518A" w:rsidRPr="009D518A" w:rsidRDefault="009D518A" w:rsidP="00BE6103">
      <w:pPr>
        <w:spacing w:after="0" w:line="240" w:lineRule="auto"/>
        <w:jc w:val="both"/>
        <w:rPr>
          <w:rFonts w:ascii="Calibri" w:eastAsia="Calibri" w:hAnsi="Calibri" w:cs="Calibri"/>
          <w:color w:val="000000"/>
        </w:rPr>
      </w:pPr>
    </w:p>
    <w:p w14:paraId="7E4C4A95" w14:textId="77777777" w:rsidR="00800744" w:rsidRDefault="009D518A" w:rsidP="00BE6103">
      <w:pPr>
        <w:spacing w:after="0" w:line="240" w:lineRule="auto"/>
        <w:jc w:val="both"/>
        <w:rPr>
          <w:rFonts w:ascii="Calibri" w:eastAsia="Calibri" w:hAnsi="Calibri" w:cs="Calibri"/>
          <w:color w:val="000000"/>
        </w:rPr>
      </w:pPr>
      <w:r w:rsidRPr="009D518A">
        <w:rPr>
          <w:rFonts w:ascii="Calibri" w:eastAsia="Calibri" w:hAnsi="Calibri" w:cs="Calibri"/>
          <w:b/>
          <w:color w:val="000000"/>
        </w:rPr>
        <w:t>Government Sponsored Enterprises (GSEs):</w:t>
      </w:r>
      <w:r w:rsidRPr="009D518A">
        <w:rPr>
          <w:rFonts w:ascii="Calibri" w:eastAsia="Calibri" w:hAnsi="Calibri" w:cs="Calibri"/>
          <w:color w:val="000000"/>
        </w:rPr>
        <w:t xml:space="preserve">  </w:t>
      </w:r>
      <w:r w:rsidR="00800744" w:rsidRPr="00800744">
        <w:rPr>
          <w:rFonts w:ascii="Calibri" w:eastAsia="Calibri" w:hAnsi="Calibri" w:cs="Calibri"/>
          <w:color w:val="000000"/>
        </w:rPr>
        <w:t>Federally-chartered agency or instrumentality of the United States Government</w:t>
      </w:r>
    </w:p>
    <w:p w14:paraId="4FD64385" w14:textId="77777777" w:rsidR="00800744" w:rsidRDefault="00800744" w:rsidP="00BE6103">
      <w:pPr>
        <w:spacing w:after="0" w:line="240" w:lineRule="auto"/>
        <w:jc w:val="both"/>
        <w:rPr>
          <w:rFonts w:ascii="Calibri" w:eastAsia="Calibri" w:hAnsi="Calibri" w:cs="Calibri"/>
          <w:color w:val="000000"/>
        </w:rPr>
      </w:pPr>
    </w:p>
    <w:p w14:paraId="69E915DD" w14:textId="77777777" w:rsidR="009D518A" w:rsidRPr="009D518A" w:rsidRDefault="009D518A" w:rsidP="00BE6103">
      <w:pPr>
        <w:spacing w:after="0" w:line="240" w:lineRule="auto"/>
        <w:jc w:val="both"/>
        <w:rPr>
          <w:rFonts w:ascii="Calibri" w:eastAsia="Calibri" w:hAnsi="Calibri" w:cs="Calibri"/>
          <w:color w:val="000000"/>
        </w:rPr>
      </w:pPr>
      <w:r w:rsidRPr="009D518A">
        <w:rPr>
          <w:rFonts w:ascii="Calibri" w:eastAsia="Calibri" w:hAnsi="Calibri" w:cs="Calibri"/>
          <w:b/>
          <w:color w:val="000000"/>
        </w:rPr>
        <w:t>IDC Ranking:</w:t>
      </w:r>
      <w:r w:rsidRPr="009D518A">
        <w:rPr>
          <w:rFonts w:ascii="Calibri" w:eastAsia="Calibri" w:hAnsi="Calibri" w:cs="Calibri"/>
          <w:color w:val="000000"/>
        </w:rPr>
        <w:t xml:space="preserve">  IDC Financial Publishing, Inc. compiles financial data on all banks, thrifts, and credit unions reporting to the federal government, and publishes a ranking based on 24 key indicators. </w:t>
      </w:r>
    </w:p>
    <w:p w14:paraId="2DF8A33E" w14:textId="77777777" w:rsidR="009D518A" w:rsidRPr="009D518A" w:rsidRDefault="009D518A" w:rsidP="00BE6103">
      <w:pPr>
        <w:spacing w:after="0" w:line="240" w:lineRule="auto"/>
        <w:jc w:val="both"/>
        <w:rPr>
          <w:rFonts w:ascii="Calibri" w:eastAsia="Calibri" w:hAnsi="Calibri" w:cs="Calibri"/>
          <w:color w:val="000000"/>
        </w:rPr>
      </w:pPr>
    </w:p>
    <w:p w14:paraId="369B40D7" w14:textId="77777777" w:rsidR="009D518A" w:rsidRPr="009D518A" w:rsidRDefault="009D518A" w:rsidP="00BE6103">
      <w:pPr>
        <w:spacing w:after="0" w:line="240" w:lineRule="auto"/>
        <w:jc w:val="both"/>
        <w:rPr>
          <w:rFonts w:ascii="Calibri" w:eastAsia="Calibri" w:hAnsi="Calibri" w:cs="Calibri"/>
          <w:color w:val="000000"/>
        </w:rPr>
      </w:pPr>
      <w:r w:rsidRPr="009D518A">
        <w:rPr>
          <w:rFonts w:ascii="Calibri" w:eastAsia="Calibri" w:hAnsi="Calibri" w:cs="Calibri"/>
          <w:b/>
          <w:color w:val="000000"/>
        </w:rPr>
        <w:t>Interest Rate</w:t>
      </w:r>
      <w:r w:rsidRPr="009D518A">
        <w:rPr>
          <w:rFonts w:ascii="Calibri" w:eastAsia="Calibri" w:hAnsi="Calibri" w:cs="Calibri"/>
          <w:color w:val="000000"/>
        </w:rPr>
        <w:t>:  See "Coupon Rate."</w:t>
      </w:r>
    </w:p>
    <w:p w14:paraId="7D133E3C" w14:textId="77777777" w:rsidR="009D518A" w:rsidRPr="009D518A" w:rsidRDefault="009D518A" w:rsidP="00BE6103">
      <w:pPr>
        <w:spacing w:after="0" w:line="240" w:lineRule="auto"/>
        <w:jc w:val="both"/>
        <w:rPr>
          <w:rFonts w:ascii="Calibri" w:eastAsia="Calibri" w:hAnsi="Calibri" w:cs="Calibri"/>
          <w:color w:val="000000"/>
        </w:rPr>
      </w:pPr>
    </w:p>
    <w:p w14:paraId="66478499" w14:textId="77777777" w:rsidR="009D518A" w:rsidRPr="009D518A" w:rsidRDefault="009D518A" w:rsidP="00BE6103">
      <w:pPr>
        <w:spacing w:after="0" w:line="240" w:lineRule="auto"/>
        <w:jc w:val="both"/>
        <w:rPr>
          <w:rFonts w:ascii="Calibri" w:eastAsia="Calibri" w:hAnsi="Calibri" w:cs="Calibri"/>
          <w:color w:val="000000"/>
        </w:rPr>
      </w:pPr>
      <w:r w:rsidRPr="009D518A">
        <w:rPr>
          <w:rFonts w:ascii="Calibri" w:eastAsia="Calibri" w:hAnsi="Calibri" w:cs="Calibri"/>
          <w:b/>
          <w:color w:val="000000"/>
        </w:rPr>
        <w:t>Interest Rate Risk</w:t>
      </w:r>
      <w:r w:rsidRPr="009D518A">
        <w:rPr>
          <w:rFonts w:ascii="Calibri" w:eastAsia="Calibri" w:hAnsi="Calibri" w:cs="Calibri"/>
          <w:color w:val="000000"/>
        </w:rPr>
        <w:t>: The risk associated with declines or rises in interest rates, which cause an investment in a fixed</w:t>
      </w:r>
      <w:r w:rsidRPr="009D518A">
        <w:rPr>
          <w:rFonts w:ascii="Calibri" w:eastAsia="Calibri" w:hAnsi="Calibri" w:cs="Calibri"/>
          <w:color w:val="000000"/>
        </w:rPr>
        <w:noBreakHyphen/>
        <w:t>income security to increase or decrease in value.  Duration is a measure of interest rate risk.</w:t>
      </w:r>
    </w:p>
    <w:p w14:paraId="60B6C4B6" w14:textId="77777777" w:rsidR="009D518A" w:rsidRPr="009D518A" w:rsidRDefault="009D518A" w:rsidP="00BE6103">
      <w:pPr>
        <w:spacing w:after="0" w:line="240" w:lineRule="auto"/>
        <w:jc w:val="both"/>
        <w:rPr>
          <w:rFonts w:ascii="Calibri" w:eastAsia="Calibri" w:hAnsi="Calibri" w:cs="Calibri"/>
          <w:color w:val="000000"/>
        </w:rPr>
      </w:pPr>
    </w:p>
    <w:p w14:paraId="5EA55FDE" w14:textId="77777777" w:rsidR="009D518A" w:rsidRPr="009D518A" w:rsidRDefault="009D518A" w:rsidP="00BE6103">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Interest Rate Swap:  </w:t>
      </w:r>
      <w:r w:rsidRPr="009D518A">
        <w:rPr>
          <w:rFonts w:ascii="Calibri" w:eastAsia="Calibri" w:hAnsi="Calibri" w:cs="Calibri"/>
          <w:color w:val="000000"/>
        </w:rPr>
        <w:t>An interest rate swap is a forward contract in which one stream of future interest payments is exchanged for another based on a specified principal amount. Interest rate swaps usually involve the exchange of a fixed interest rate for a floating rate, or vice versa, to reduce or increase exposure to fluctuations in interest rates or to obtain a marginally lower interest rate than would have been possible without the swap.</w:t>
      </w:r>
    </w:p>
    <w:p w14:paraId="095BBB1E" w14:textId="77777777" w:rsidR="009D518A" w:rsidRPr="009D518A" w:rsidRDefault="009D518A" w:rsidP="009D518A">
      <w:pPr>
        <w:spacing w:after="0" w:line="240" w:lineRule="auto"/>
        <w:jc w:val="both"/>
        <w:rPr>
          <w:rFonts w:ascii="Calibri" w:eastAsia="Calibri" w:hAnsi="Calibri" w:cs="Calibri"/>
          <w:b/>
          <w:color w:val="000000"/>
        </w:rPr>
      </w:pPr>
    </w:p>
    <w:p w14:paraId="1F261DD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Inter-American Development Bank (IADB):</w:t>
      </w:r>
      <w:r w:rsidRPr="009D518A">
        <w:rPr>
          <w:rFonts w:ascii="Calibri" w:eastAsia="Calibri" w:hAnsi="Calibri" w:cs="Calibri"/>
          <w:color w:val="000000"/>
        </w:rPr>
        <w:t xml:space="preserve">  An international financial institution that supports Latin American and Caribbean economic development, social development and regional integration by lending to governments and government agencies, including State corporations.  The IADB is headquartered in Washington, D.C.  IADB is a supranational organization and was established in 1959.</w:t>
      </w:r>
    </w:p>
    <w:p w14:paraId="145417A1" w14:textId="77777777" w:rsidR="009D518A" w:rsidRPr="009D518A" w:rsidRDefault="009D518A" w:rsidP="009D518A">
      <w:pPr>
        <w:spacing w:after="0" w:line="240" w:lineRule="auto"/>
        <w:jc w:val="both"/>
        <w:rPr>
          <w:rFonts w:ascii="Calibri" w:eastAsia="Calibri" w:hAnsi="Calibri" w:cs="Calibri"/>
          <w:b/>
          <w:color w:val="000000"/>
        </w:rPr>
      </w:pPr>
    </w:p>
    <w:p w14:paraId="791B3062" w14:textId="77777777" w:rsidR="009D518A" w:rsidRPr="009D518A" w:rsidRDefault="009D518A" w:rsidP="009D518A">
      <w:pPr>
        <w:spacing w:after="0" w:line="240" w:lineRule="auto"/>
        <w:jc w:val="both"/>
        <w:rPr>
          <w:rFonts w:ascii="Calibri" w:eastAsia="Calibri" w:hAnsi="Calibri" w:cs="Calibri"/>
          <w:b/>
          <w:color w:val="000000"/>
        </w:rPr>
      </w:pPr>
      <w:r w:rsidRPr="009D518A">
        <w:rPr>
          <w:rFonts w:ascii="Calibri" w:eastAsia="Calibri" w:hAnsi="Calibri" w:cs="Calibri"/>
          <w:b/>
          <w:color w:val="000000"/>
        </w:rPr>
        <w:t>International Bank for Reconstruction and Development (IBRD):</w:t>
      </w:r>
      <w:r w:rsidRPr="009D518A">
        <w:rPr>
          <w:rFonts w:ascii="Calibri" w:eastAsia="Calibri" w:hAnsi="Calibri" w:cs="Calibri"/>
          <w:color w:val="000000"/>
        </w:rPr>
        <w:t xml:space="preserve">   An international financial institution that offers loans to middle-income developing countries. The IBRD is the first of five member institutions that compose the World Bank Group, and is headquartered in Washington, D.C.  IBRD is a supranational organization and was established in 1944. </w:t>
      </w:r>
    </w:p>
    <w:p w14:paraId="231C28F2" w14:textId="77777777" w:rsidR="009D518A" w:rsidRPr="009D518A" w:rsidRDefault="009D518A" w:rsidP="009D518A">
      <w:pPr>
        <w:spacing w:after="0" w:line="240" w:lineRule="auto"/>
        <w:jc w:val="both"/>
        <w:rPr>
          <w:rFonts w:ascii="Calibri" w:eastAsia="Calibri" w:hAnsi="Calibri" w:cs="Calibri"/>
          <w:b/>
          <w:color w:val="000000"/>
        </w:rPr>
      </w:pPr>
    </w:p>
    <w:p w14:paraId="0A5BA3C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International Finance Corporation (IFC): </w:t>
      </w:r>
      <w:r w:rsidRPr="009D518A">
        <w:rPr>
          <w:rFonts w:ascii="Calibri" w:eastAsia="Calibri" w:hAnsi="Calibri" w:cs="Calibri"/>
          <w:color w:val="000000"/>
        </w:rPr>
        <w:t>An international financial institution that offers investment, advisory, and asset-management services to encourage private-sector development in less developed countries. The IFC is a member of the World Bank Group and is headquartered in Washington, D.C.  IFC is a supranational organization and was established in 1956.</w:t>
      </w:r>
    </w:p>
    <w:p w14:paraId="78A7F225" w14:textId="77777777" w:rsidR="009D518A" w:rsidRPr="009D518A" w:rsidRDefault="009D518A" w:rsidP="009D518A">
      <w:pPr>
        <w:spacing w:after="0" w:line="240" w:lineRule="auto"/>
        <w:jc w:val="both"/>
        <w:rPr>
          <w:rFonts w:ascii="Calibri" w:eastAsia="Calibri" w:hAnsi="Calibri" w:cs="Calibri"/>
          <w:b/>
          <w:color w:val="000000"/>
        </w:rPr>
      </w:pPr>
    </w:p>
    <w:p w14:paraId="5E016D4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lastRenderedPageBreak/>
        <w:t>Inverse Floater</w:t>
      </w:r>
      <w:r w:rsidRPr="009D518A">
        <w:rPr>
          <w:rFonts w:ascii="Calibri" w:eastAsia="Calibri" w:hAnsi="Calibri" w:cs="Calibri"/>
          <w:color w:val="000000"/>
        </w:rPr>
        <w:t>:  An inverse floater is a bond or other type of debt whose coupon rate has an inverse relationship to a benchmark rate. An inverse floater adjusts its coupon payment as the interest rate changes.</w:t>
      </w:r>
    </w:p>
    <w:p w14:paraId="77C91B2B" w14:textId="77777777" w:rsidR="009D518A" w:rsidRPr="009D518A" w:rsidRDefault="009D518A" w:rsidP="009D518A">
      <w:pPr>
        <w:spacing w:after="0" w:line="240" w:lineRule="auto"/>
        <w:jc w:val="both"/>
        <w:rPr>
          <w:rFonts w:ascii="Calibri" w:eastAsia="Calibri" w:hAnsi="Calibri" w:cs="Calibri"/>
          <w:color w:val="000000"/>
        </w:rPr>
      </w:pPr>
    </w:p>
    <w:p w14:paraId="7924488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Inverted Yield Curve</w:t>
      </w:r>
      <w:r w:rsidRPr="009D518A">
        <w:rPr>
          <w:rFonts w:ascii="Calibri" w:eastAsia="Calibri" w:hAnsi="Calibri" w:cs="Calibri"/>
          <w:color w:val="000000"/>
        </w:rPr>
        <w:t>: A chart formation that illustrates long</w:t>
      </w:r>
      <w:r w:rsidRPr="009D518A">
        <w:rPr>
          <w:rFonts w:ascii="Calibri" w:eastAsia="Calibri" w:hAnsi="Calibri" w:cs="Calibri"/>
          <w:color w:val="000000"/>
        </w:rPr>
        <w:noBreakHyphen/>
        <w:t>term securities having lower yields than short</w:t>
      </w:r>
      <w:r w:rsidRPr="009D518A">
        <w:rPr>
          <w:rFonts w:ascii="Calibri" w:eastAsia="Calibri" w:hAnsi="Calibri" w:cs="Calibri"/>
          <w:color w:val="000000"/>
        </w:rPr>
        <w:noBreakHyphen/>
        <w:t>term securities.  This configuration usually occurs during periods of (or anticipation of) high inflation coupled with low levels of confidence in the economy and a restrictive monetary policy.</w:t>
      </w:r>
    </w:p>
    <w:p w14:paraId="7FFFC326" w14:textId="77777777" w:rsidR="009D518A" w:rsidRPr="009D518A" w:rsidRDefault="009D518A" w:rsidP="009D518A">
      <w:pPr>
        <w:spacing w:after="0" w:line="240" w:lineRule="auto"/>
        <w:jc w:val="both"/>
        <w:rPr>
          <w:rFonts w:ascii="Calibri" w:eastAsia="Calibri" w:hAnsi="Calibri" w:cs="Calibri"/>
          <w:b/>
          <w:color w:val="000000"/>
        </w:rPr>
      </w:pPr>
    </w:p>
    <w:p w14:paraId="11EE941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Investment Company Act of 1940</w:t>
      </w:r>
      <w:r w:rsidRPr="009D518A">
        <w:rPr>
          <w:rFonts w:ascii="Calibri" w:eastAsia="Calibri" w:hAnsi="Calibri" w:cs="Calibri"/>
          <w:color w:val="000000"/>
        </w:rPr>
        <w:t>: Federal legislation, which sets the standards by which investment companies, such as mutual funds, are regulated in the areas of advertising, promotion, performance reporting requirements, and securities valuations.</w:t>
      </w:r>
    </w:p>
    <w:p w14:paraId="08B4505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Investment Policy</w:t>
      </w:r>
      <w:r w:rsidRPr="009D518A">
        <w:rPr>
          <w:rFonts w:ascii="Calibri" w:eastAsia="Calibri" w:hAnsi="Calibri" w:cs="Calibri"/>
          <w:color w:val="000000"/>
        </w:rPr>
        <w:t>: A concise and clear statement of the objectives and parameters formulated by an investor or investment manager for a portfolio of investment securities.</w:t>
      </w:r>
    </w:p>
    <w:p w14:paraId="087AB123" w14:textId="77777777" w:rsidR="009D518A" w:rsidRPr="009D518A" w:rsidRDefault="009D518A" w:rsidP="009D518A">
      <w:pPr>
        <w:spacing w:after="0" w:line="240" w:lineRule="auto"/>
        <w:jc w:val="both"/>
        <w:rPr>
          <w:rFonts w:ascii="Calibri" w:eastAsia="Calibri" w:hAnsi="Calibri" w:cs="Calibri"/>
          <w:color w:val="000000"/>
        </w:rPr>
      </w:pPr>
    </w:p>
    <w:p w14:paraId="65EA408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Investment</w:t>
      </w:r>
      <w:r w:rsidRPr="009D518A">
        <w:rPr>
          <w:rFonts w:ascii="Calibri" w:eastAsia="Calibri" w:hAnsi="Calibri" w:cs="Calibri"/>
          <w:b/>
          <w:bCs/>
          <w:color w:val="000000"/>
        </w:rPr>
        <w:noBreakHyphen/>
        <w:t>Grade Obligations</w:t>
      </w:r>
      <w:r w:rsidRPr="009D518A">
        <w:rPr>
          <w:rFonts w:ascii="Calibri" w:eastAsia="Calibri" w:hAnsi="Calibri" w:cs="Calibri"/>
          <w:color w:val="000000"/>
        </w:rPr>
        <w:t>:  Obligations that are rated BBB or higher by a rating agency</w:t>
      </w:r>
    </w:p>
    <w:p w14:paraId="66BACA25" w14:textId="77777777" w:rsidR="009D518A" w:rsidRPr="009D518A" w:rsidRDefault="009D518A" w:rsidP="009D518A">
      <w:pPr>
        <w:spacing w:after="0" w:line="240" w:lineRule="auto"/>
        <w:jc w:val="both"/>
        <w:rPr>
          <w:rFonts w:ascii="Calibri" w:eastAsia="Calibri" w:hAnsi="Calibri" w:cs="Calibri"/>
          <w:color w:val="000000"/>
        </w:rPr>
      </w:pPr>
    </w:p>
    <w:p w14:paraId="26E9C96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Leverage:</w:t>
      </w:r>
      <w:r w:rsidRPr="009D518A">
        <w:rPr>
          <w:rFonts w:ascii="Calibri" w:eastAsia="Calibri" w:hAnsi="Calibri" w:cs="Calibri"/>
          <w:color w:val="000000"/>
        </w:rPr>
        <w:t xml:space="preserve">  The use of financial leverage to control a greater amount of assets (by borrowing money) will cause the returns on the owner's cash investment to be amplified.</w:t>
      </w:r>
    </w:p>
    <w:p w14:paraId="71DF6334" w14:textId="77777777" w:rsidR="009D518A" w:rsidRPr="009D518A" w:rsidRDefault="009D518A" w:rsidP="009D518A">
      <w:pPr>
        <w:spacing w:after="0" w:line="240" w:lineRule="auto"/>
        <w:jc w:val="both"/>
        <w:rPr>
          <w:rFonts w:ascii="Calibri" w:eastAsia="Calibri" w:hAnsi="Calibri" w:cs="Calibri"/>
          <w:color w:val="000000"/>
        </w:rPr>
      </w:pPr>
    </w:p>
    <w:p w14:paraId="21EDC15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Liquidity: </w:t>
      </w:r>
      <w:r w:rsidRPr="009D518A">
        <w:rPr>
          <w:rFonts w:ascii="Calibri" w:eastAsia="Calibri" w:hAnsi="Calibri" w:cs="Calibri"/>
          <w:color w:val="000000"/>
        </w:rPr>
        <w:t xml:space="preserve"> The amount of a portfolio or an asset that can be converted easily and quickly into cash.</w:t>
      </w:r>
    </w:p>
    <w:p w14:paraId="391F25C2" w14:textId="77777777" w:rsidR="009D518A" w:rsidRPr="009D518A" w:rsidRDefault="009D518A" w:rsidP="009D518A">
      <w:pPr>
        <w:spacing w:after="0" w:line="240" w:lineRule="auto"/>
        <w:jc w:val="both"/>
        <w:rPr>
          <w:rFonts w:ascii="Calibri" w:eastAsia="Calibri" w:hAnsi="Calibri" w:cs="Calibri"/>
          <w:color w:val="000000"/>
        </w:rPr>
      </w:pPr>
    </w:p>
    <w:p w14:paraId="7AF866A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Local Government Investment Pool (LGIP)</w:t>
      </w:r>
      <w:r w:rsidRPr="009D518A">
        <w:rPr>
          <w:rFonts w:ascii="Calibri" w:eastAsia="Calibri" w:hAnsi="Calibri" w:cs="Calibri"/>
          <w:color w:val="000000"/>
        </w:rPr>
        <w:t>:  An investment by local governments in which their money is pooled as a method for managing local funds.</w:t>
      </w:r>
    </w:p>
    <w:p w14:paraId="26880DEF" w14:textId="77777777" w:rsidR="009D518A" w:rsidRPr="009D518A" w:rsidRDefault="009D518A" w:rsidP="009D518A">
      <w:pPr>
        <w:spacing w:after="0" w:line="240" w:lineRule="auto"/>
        <w:jc w:val="both"/>
        <w:rPr>
          <w:rFonts w:ascii="Calibri" w:eastAsia="Calibri" w:hAnsi="Calibri" w:cs="Calibri"/>
          <w:b/>
          <w:bCs/>
          <w:color w:val="000000"/>
        </w:rPr>
      </w:pPr>
    </w:p>
    <w:p w14:paraId="4C8B52E1"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Make Whole Call:  </w:t>
      </w:r>
      <w:r w:rsidRPr="009D518A">
        <w:rPr>
          <w:rFonts w:ascii="Calibri" w:eastAsia="Calibri" w:hAnsi="Calibri" w:cs="Calibri"/>
          <w:bCs/>
          <w:color w:val="000000"/>
        </w:rPr>
        <w:t>A make whole call provision is a type of call provision on a bond allowing the issuer to pay off remaining debt early. The issuer typically has to make a lump sum payment to the investor derived from a formula based on the net present value (NPV) of future coupon payments that will not be paid incrementally because of the call combined with the principal payment the investor would have received at maturity.</w:t>
      </w:r>
    </w:p>
    <w:p w14:paraId="17F75F67" w14:textId="77777777" w:rsidR="009D518A" w:rsidRPr="009D518A" w:rsidRDefault="009D518A" w:rsidP="009D518A">
      <w:pPr>
        <w:spacing w:after="0" w:line="240" w:lineRule="auto"/>
        <w:jc w:val="both"/>
        <w:rPr>
          <w:rFonts w:ascii="Calibri" w:eastAsia="Calibri" w:hAnsi="Calibri" w:cs="Calibri"/>
          <w:b/>
          <w:bCs/>
          <w:color w:val="000000"/>
        </w:rPr>
      </w:pPr>
    </w:p>
    <w:p w14:paraId="0813A7D8"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Mark</w:t>
      </w:r>
      <w:r w:rsidRPr="009D518A">
        <w:rPr>
          <w:rFonts w:ascii="Calibri" w:eastAsia="Calibri" w:hAnsi="Calibri" w:cs="Calibri"/>
          <w:b/>
          <w:bCs/>
          <w:color w:val="000000"/>
        </w:rPr>
        <w:noBreakHyphen/>
        <w:t>to</w:t>
      </w:r>
      <w:r w:rsidRPr="009D518A">
        <w:rPr>
          <w:rFonts w:ascii="Calibri" w:eastAsia="Calibri" w:hAnsi="Calibri" w:cs="Calibri"/>
          <w:b/>
          <w:bCs/>
          <w:color w:val="000000"/>
        </w:rPr>
        <w:noBreakHyphen/>
        <w:t xml:space="preserve">Market: </w:t>
      </w:r>
      <w:r w:rsidRPr="009D518A">
        <w:rPr>
          <w:rFonts w:ascii="Calibri" w:eastAsia="Calibri" w:hAnsi="Calibri" w:cs="Calibri"/>
          <w:color w:val="000000"/>
        </w:rPr>
        <w:t>The process whereby the book value or collateral value of a security is adjusted to reflect its current market value.</w:t>
      </w:r>
    </w:p>
    <w:p w14:paraId="751AD07F" w14:textId="77777777" w:rsidR="009D518A" w:rsidRPr="009D518A" w:rsidRDefault="009D518A" w:rsidP="009D518A">
      <w:pPr>
        <w:spacing w:after="0" w:line="240" w:lineRule="auto"/>
        <w:jc w:val="both"/>
        <w:rPr>
          <w:rFonts w:ascii="Calibri" w:eastAsia="Calibri" w:hAnsi="Calibri" w:cs="Calibri"/>
          <w:color w:val="000000"/>
        </w:rPr>
      </w:pPr>
    </w:p>
    <w:p w14:paraId="20BD9FD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Market Risk</w:t>
      </w:r>
      <w:r w:rsidRPr="009D518A">
        <w:rPr>
          <w:rFonts w:ascii="Calibri" w:eastAsia="Calibri" w:hAnsi="Calibri" w:cs="Calibri"/>
          <w:color w:val="000000"/>
        </w:rPr>
        <w:t>: The risk that the value of a security will rise or decline as a result of changes in market conditions.</w:t>
      </w:r>
    </w:p>
    <w:p w14:paraId="25A9866C" w14:textId="77777777" w:rsidR="009D518A" w:rsidRPr="009D518A" w:rsidRDefault="009D518A" w:rsidP="009D518A">
      <w:pPr>
        <w:spacing w:after="0" w:line="240" w:lineRule="auto"/>
        <w:jc w:val="both"/>
        <w:rPr>
          <w:rFonts w:ascii="Calibri" w:eastAsia="Calibri" w:hAnsi="Calibri" w:cs="Calibri"/>
          <w:color w:val="000000"/>
        </w:rPr>
      </w:pPr>
    </w:p>
    <w:p w14:paraId="7396A11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Market Value</w:t>
      </w:r>
      <w:r w:rsidRPr="009D518A">
        <w:rPr>
          <w:rFonts w:ascii="Calibri" w:eastAsia="Calibri" w:hAnsi="Calibri" w:cs="Calibri"/>
          <w:color w:val="000000"/>
        </w:rPr>
        <w:t>: Current market price of a security.</w:t>
      </w:r>
    </w:p>
    <w:p w14:paraId="74AFEB77" w14:textId="77777777" w:rsidR="009D518A" w:rsidRPr="009D518A" w:rsidRDefault="009D518A" w:rsidP="009D518A">
      <w:pPr>
        <w:spacing w:after="0" w:line="240" w:lineRule="auto"/>
        <w:jc w:val="both"/>
        <w:rPr>
          <w:rFonts w:ascii="Calibri" w:eastAsia="Calibri" w:hAnsi="Calibri" w:cs="Calibri"/>
          <w:b/>
          <w:bCs/>
          <w:color w:val="000000"/>
        </w:rPr>
      </w:pPr>
    </w:p>
    <w:p w14:paraId="1BE91FE8"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Master Repurchase Agreement (MRA):</w:t>
      </w:r>
      <w:r w:rsidRPr="009D518A">
        <w:rPr>
          <w:rFonts w:ascii="Calibri" w:eastAsia="Arial" w:hAnsi="Calibri" w:cs="Calibri"/>
          <w:color w:val="000000"/>
          <w:spacing w:val="-1"/>
        </w:rPr>
        <w:t xml:space="preserve"> A written contract covering all future transactions between the parties to repurchase—reverse repurchase agreements that establishes each party’s rights in the transactions. A master agreement will often specify, among other things, the right of the buyer-lender to liquidate the underlying securities in the event of default by the seller borrower.  SIFMA’s MRA is the industry standard agreement.  </w:t>
      </w:r>
    </w:p>
    <w:p w14:paraId="5979BB81" w14:textId="77777777" w:rsidR="009D518A" w:rsidRPr="009D518A" w:rsidRDefault="009D518A" w:rsidP="009D518A">
      <w:pPr>
        <w:spacing w:after="0" w:line="240" w:lineRule="auto"/>
        <w:jc w:val="both"/>
        <w:rPr>
          <w:rFonts w:ascii="Calibri" w:eastAsia="Calibri" w:hAnsi="Calibri" w:cs="Calibri"/>
          <w:b/>
          <w:bCs/>
          <w:color w:val="000000"/>
        </w:rPr>
      </w:pPr>
    </w:p>
    <w:p w14:paraId="2E1B34D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Maturity:  </w:t>
      </w:r>
      <w:r w:rsidRPr="009D518A">
        <w:rPr>
          <w:rFonts w:ascii="Calibri" w:eastAsia="Calibri" w:hAnsi="Calibri" w:cs="Calibri"/>
          <w:color w:val="000000"/>
        </w:rPr>
        <w:t>The date on which payment of a financial obligation is due.  The final stated maturity is the date on which the issuer must retire a bond and pay the face value to the bondholder.  See "Weighted Average Maturity”.</w:t>
      </w:r>
    </w:p>
    <w:p w14:paraId="64C78C19" w14:textId="0692E82A" w:rsidR="009D518A" w:rsidRDefault="009D518A" w:rsidP="009D518A">
      <w:pPr>
        <w:spacing w:after="0" w:line="240" w:lineRule="auto"/>
        <w:jc w:val="both"/>
        <w:rPr>
          <w:rFonts w:ascii="Calibri" w:eastAsia="Calibri" w:hAnsi="Calibri" w:cs="Calibri"/>
          <w:color w:val="000000"/>
        </w:rPr>
      </w:pPr>
    </w:p>
    <w:p w14:paraId="66ACBFB9" w14:textId="1354A8E2" w:rsidR="00C908EF" w:rsidRPr="00C908EF" w:rsidRDefault="008E3F44" w:rsidP="00C908EF">
      <w:pPr>
        <w:spacing w:after="0" w:line="240" w:lineRule="auto"/>
        <w:jc w:val="both"/>
        <w:rPr>
          <w:rFonts w:ascii="Calibri" w:eastAsia="Calibri" w:hAnsi="Calibri" w:cs="Calibri"/>
          <w:color w:val="000000"/>
        </w:rPr>
      </w:pPr>
      <w:r w:rsidRPr="008E3F44">
        <w:rPr>
          <w:rFonts w:ascii="Calibri" w:eastAsia="Calibri" w:hAnsi="Calibri" w:cs="Calibri"/>
          <w:b/>
          <w:color w:val="000000"/>
        </w:rPr>
        <w:lastRenderedPageBreak/>
        <w:t>Maximum Issuer Concentration</w:t>
      </w:r>
      <w:r w:rsidR="00C908EF" w:rsidRPr="008E3F44">
        <w:rPr>
          <w:rFonts w:ascii="Calibri" w:eastAsia="Calibri" w:hAnsi="Calibri" w:cs="Calibri"/>
          <w:b/>
          <w:color w:val="000000"/>
        </w:rPr>
        <w:t>:</w:t>
      </w:r>
      <w:r w:rsidR="00C908EF" w:rsidRPr="00C908EF">
        <w:rPr>
          <w:rFonts w:ascii="Calibri" w:eastAsia="Calibri" w:hAnsi="Calibri" w:cs="Calibri"/>
          <w:color w:val="000000"/>
        </w:rPr>
        <w:t xml:space="preserve">  Maximum allowable allocation to any one issuer.</w:t>
      </w:r>
    </w:p>
    <w:p w14:paraId="0C4405EF" w14:textId="77777777" w:rsidR="00C908EF" w:rsidRPr="00C908EF" w:rsidRDefault="00C908EF" w:rsidP="00C908EF">
      <w:pPr>
        <w:spacing w:after="0" w:line="240" w:lineRule="auto"/>
        <w:jc w:val="both"/>
        <w:rPr>
          <w:rFonts w:ascii="Calibri" w:eastAsia="Calibri" w:hAnsi="Calibri" w:cs="Calibri"/>
          <w:color w:val="000000"/>
        </w:rPr>
      </w:pPr>
    </w:p>
    <w:p w14:paraId="28A4609E" w14:textId="69BA7872" w:rsidR="00C908EF" w:rsidRPr="00C908EF" w:rsidRDefault="008E3F44" w:rsidP="00C908EF">
      <w:pPr>
        <w:spacing w:after="0" w:line="240" w:lineRule="auto"/>
        <w:jc w:val="both"/>
        <w:rPr>
          <w:rFonts w:ascii="Calibri" w:eastAsia="Calibri" w:hAnsi="Calibri" w:cs="Calibri"/>
          <w:color w:val="000000"/>
        </w:rPr>
      </w:pPr>
      <w:r w:rsidRPr="008E3F44">
        <w:rPr>
          <w:rFonts w:ascii="Calibri" w:eastAsia="Calibri" w:hAnsi="Calibri" w:cs="Calibri"/>
          <w:b/>
          <w:color w:val="000000"/>
        </w:rPr>
        <w:t>Maximum Term</w:t>
      </w:r>
      <w:r w:rsidR="00C908EF" w:rsidRPr="008E3F44">
        <w:rPr>
          <w:rFonts w:ascii="Calibri" w:eastAsia="Calibri" w:hAnsi="Calibri" w:cs="Calibri"/>
          <w:b/>
          <w:color w:val="000000"/>
        </w:rPr>
        <w:t>:</w:t>
      </w:r>
      <w:r w:rsidR="00C908EF" w:rsidRPr="00C908EF">
        <w:rPr>
          <w:rFonts w:ascii="Calibri" w:eastAsia="Calibri" w:hAnsi="Calibri" w:cs="Calibri"/>
          <w:color w:val="000000"/>
        </w:rPr>
        <w:t xml:space="preserve">  Maximum allowable maturity of an investment.</w:t>
      </w:r>
    </w:p>
    <w:p w14:paraId="451B491E" w14:textId="77777777" w:rsidR="00C908EF" w:rsidRPr="00C908EF" w:rsidRDefault="00C908EF" w:rsidP="00C908EF">
      <w:pPr>
        <w:spacing w:after="0" w:line="240" w:lineRule="auto"/>
        <w:jc w:val="both"/>
        <w:rPr>
          <w:rFonts w:ascii="Calibri" w:eastAsia="Calibri" w:hAnsi="Calibri" w:cs="Calibri"/>
          <w:color w:val="000000"/>
        </w:rPr>
      </w:pPr>
    </w:p>
    <w:p w14:paraId="42D0D4D2" w14:textId="1E452535" w:rsidR="00C908EF" w:rsidRPr="00C908EF" w:rsidRDefault="008E3F44" w:rsidP="00C908EF">
      <w:pPr>
        <w:spacing w:after="0" w:line="240" w:lineRule="auto"/>
        <w:jc w:val="both"/>
        <w:rPr>
          <w:rFonts w:ascii="Calibri" w:eastAsia="Calibri" w:hAnsi="Calibri" w:cs="Calibri"/>
          <w:color w:val="000000"/>
        </w:rPr>
      </w:pPr>
      <w:r w:rsidRPr="008E3F44">
        <w:rPr>
          <w:rFonts w:ascii="Calibri" w:eastAsia="Calibri" w:hAnsi="Calibri" w:cs="Calibri"/>
          <w:b/>
          <w:color w:val="000000"/>
        </w:rPr>
        <w:t>Maximum Type Allocation</w:t>
      </w:r>
      <w:r w:rsidR="00C908EF" w:rsidRPr="008E3F44">
        <w:rPr>
          <w:rFonts w:ascii="Calibri" w:eastAsia="Calibri" w:hAnsi="Calibri" w:cs="Calibri"/>
          <w:b/>
          <w:color w:val="000000"/>
        </w:rPr>
        <w:t>:</w:t>
      </w:r>
      <w:r w:rsidR="00C908EF" w:rsidRPr="00C908EF">
        <w:rPr>
          <w:rFonts w:ascii="Calibri" w:eastAsia="Calibri" w:hAnsi="Calibri" w:cs="Calibri"/>
          <w:color w:val="000000"/>
        </w:rPr>
        <w:t xml:space="preserve">  Maximum allowable allocation to a specific investment type or category, such as treasuries, federal agencies, or corporate bonds.</w:t>
      </w:r>
    </w:p>
    <w:p w14:paraId="5CFBD939" w14:textId="44C9532C" w:rsidR="00C908EF" w:rsidRDefault="00C908EF" w:rsidP="009D518A">
      <w:pPr>
        <w:spacing w:after="0" w:line="240" w:lineRule="auto"/>
        <w:jc w:val="both"/>
        <w:rPr>
          <w:rFonts w:ascii="Calibri" w:eastAsia="Calibri" w:hAnsi="Calibri" w:cs="Calibri"/>
          <w:color w:val="000000"/>
        </w:rPr>
      </w:pPr>
    </w:p>
    <w:p w14:paraId="5656936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Medium Term Notes:  </w:t>
      </w:r>
      <w:r w:rsidRPr="009D518A">
        <w:rPr>
          <w:rFonts w:ascii="Calibri" w:eastAsia="Calibri" w:hAnsi="Calibri" w:cs="Calibri"/>
          <w:color w:val="000000"/>
        </w:rPr>
        <w:t>Debt obligations of banks, corporations, and insurance companies. They are issued at a specific rate of return for a specific period of time.</w:t>
      </w:r>
    </w:p>
    <w:p w14:paraId="52623EC5" w14:textId="67CAF029" w:rsidR="009D518A" w:rsidRDefault="009D518A" w:rsidP="009D518A">
      <w:pPr>
        <w:spacing w:after="0" w:line="240" w:lineRule="auto"/>
        <w:jc w:val="both"/>
        <w:rPr>
          <w:rFonts w:ascii="Calibri" w:eastAsia="Calibri" w:hAnsi="Calibri" w:cs="Calibri"/>
          <w:color w:val="000000"/>
        </w:rPr>
      </w:pPr>
    </w:p>
    <w:p w14:paraId="580C4E0E" w14:textId="09D202EA" w:rsidR="00C908EF" w:rsidRDefault="008E3F44" w:rsidP="00C908EF">
      <w:pPr>
        <w:spacing w:after="0" w:line="240" w:lineRule="auto"/>
        <w:jc w:val="both"/>
        <w:rPr>
          <w:rFonts w:ascii="Calibri" w:eastAsia="Calibri" w:hAnsi="Calibri" w:cs="Calibri"/>
          <w:color w:val="000000"/>
        </w:rPr>
      </w:pPr>
      <w:r w:rsidRPr="008E3F44">
        <w:rPr>
          <w:rFonts w:ascii="Calibri" w:eastAsia="Calibri" w:hAnsi="Calibri" w:cs="Calibri"/>
          <w:b/>
          <w:color w:val="000000"/>
        </w:rPr>
        <w:t>Minimum Issuer Rating</w:t>
      </w:r>
      <w:r w:rsidR="00C908EF" w:rsidRPr="008E3F44">
        <w:rPr>
          <w:rFonts w:ascii="Calibri" w:eastAsia="Calibri" w:hAnsi="Calibri" w:cs="Calibri"/>
          <w:b/>
          <w:color w:val="000000"/>
        </w:rPr>
        <w:t>:</w:t>
      </w:r>
      <w:r w:rsidR="00C908EF" w:rsidRPr="00C908EF">
        <w:rPr>
          <w:rFonts w:ascii="Calibri" w:eastAsia="Calibri" w:hAnsi="Calibri" w:cs="Calibri"/>
          <w:color w:val="000000"/>
        </w:rPr>
        <w:t xml:space="preserve">  Minimum allowable rating by a NRSRO.</w:t>
      </w:r>
    </w:p>
    <w:p w14:paraId="7EEDED65" w14:textId="77777777" w:rsidR="00C908EF" w:rsidRPr="009D518A" w:rsidRDefault="00C908EF" w:rsidP="009D518A">
      <w:pPr>
        <w:spacing w:after="0" w:line="240" w:lineRule="auto"/>
        <w:jc w:val="both"/>
        <w:rPr>
          <w:rFonts w:ascii="Calibri" w:eastAsia="Calibri" w:hAnsi="Calibri" w:cs="Calibri"/>
          <w:color w:val="000000"/>
        </w:rPr>
      </w:pPr>
    </w:p>
    <w:p w14:paraId="1E0EEFA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Monetary Policy:</w:t>
      </w:r>
      <w:r w:rsidRPr="009D518A">
        <w:rPr>
          <w:rFonts w:ascii="Calibri" w:eastAsia="Calibri" w:hAnsi="Calibri" w:cs="Calibri"/>
          <w:color w:val="000000"/>
        </w:rPr>
        <w:t xml:space="preserve"> The way in which the money supply is managed by the Federal Reserve Board.  The FRB manipulates the money supply either through open market transactions, member bank reserve requirements, or through changing the Fed Funds Rate or the Discount Rate. </w:t>
      </w:r>
    </w:p>
    <w:p w14:paraId="3E0D66BC" w14:textId="77777777" w:rsidR="009D518A" w:rsidRPr="009D518A" w:rsidRDefault="009D518A" w:rsidP="009D518A">
      <w:pPr>
        <w:spacing w:after="0" w:line="240" w:lineRule="auto"/>
        <w:jc w:val="both"/>
        <w:rPr>
          <w:rFonts w:ascii="Calibri" w:eastAsia="Calibri" w:hAnsi="Calibri" w:cs="Calibri"/>
          <w:color w:val="000000"/>
        </w:rPr>
      </w:pPr>
    </w:p>
    <w:p w14:paraId="232B1E8E"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Money Market:</w:t>
      </w:r>
      <w:r w:rsidRPr="009D518A">
        <w:rPr>
          <w:rFonts w:ascii="Calibri" w:eastAsia="Arial" w:hAnsi="Calibri" w:cs="Calibri"/>
          <w:color w:val="000000"/>
          <w:spacing w:val="-1"/>
        </w:rPr>
        <w:t xml:space="preserve">  Typically refers to short-term debt instruments (bills, commercial paper, discount notes, etc.).</w:t>
      </w:r>
    </w:p>
    <w:p w14:paraId="483FE269" w14:textId="77777777" w:rsidR="009D518A" w:rsidRPr="009D518A" w:rsidRDefault="009D518A" w:rsidP="009D518A">
      <w:pPr>
        <w:spacing w:after="0" w:line="240" w:lineRule="auto"/>
        <w:jc w:val="both"/>
        <w:rPr>
          <w:rFonts w:ascii="Calibri" w:eastAsia="Calibri" w:hAnsi="Calibri" w:cs="Calibri"/>
          <w:color w:val="000000"/>
        </w:rPr>
      </w:pPr>
    </w:p>
    <w:p w14:paraId="55DDB228"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Money Market Fund</w:t>
      </w:r>
      <w:r w:rsidRPr="009D518A">
        <w:rPr>
          <w:rFonts w:ascii="Calibri" w:eastAsia="Calibri" w:hAnsi="Calibri" w:cs="Calibri"/>
          <w:color w:val="000000"/>
        </w:rPr>
        <w:t>: Mutual funds that invest solely in money market instruments (short</w:t>
      </w:r>
      <w:r w:rsidRPr="009D518A">
        <w:rPr>
          <w:rFonts w:ascii="Calibri" w:eastAsia="Calibri" w:hAnsi="Calibri" w:cs="Calibri"/>
          <w:color w:val="000000"/>
        </w:rPr>
        <w:noBreakHyphen/>
        <w:t>term debt instruments, such as Treasury bills, commercial paper, bankers' acceptances, repos, and federal funds).</w:t>
      </w:r>
    </w:p>
    <w:p w14:paraId="35088478" w14:textId="77777777" w:rsidR="009D518A" w:rsidRPr="009D518A" w:rsidRDefault="009D518A" w:rsidP="009D518A">
      <w:pPr>
        <w:spacing w:after="0" w:line="240" w:lineRule="auto"/>
        <w:jc w:val="both"/>
        <w:rPr>
          <w:rFonts w:ascii="Calibri" w:eastAsia="Calibri" w:hAnsi="Calibri" w:cs="Calibri"/>
          <w:color w:val="000000"/>
        </w:rPr>
      </w:pPr>
    </w:p>
    <w:p w14:paraId="22CEC49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Moody’s Investors Service</w:t>
      </w:r>
      <w:r w:rsidRPr="009D518A">
        <w:rPr>
          <w:rFonts w:ascii="Calibri" w:eastAsia="Calibri" w:hAnsi="Calibri" w:cs="Calibri"/>
          <w:color w:val="000000"/>
        </w:rPr>
        <w:t>: A company that as one of its services, analyzes and rates securities (similar to Fitch and Standard and Poor’s).</w:t>
      </w:r>
    </w:p>
    <w:p w14:paraId="7157A166" w14:textId="77777777" w:rsidR="009D518A" w:rsidRPr="009D518A" w:rsidRDefault="009D518A" w:rsidP="009D518A">
      <w:pPr>
        <w:spacing w:after="0" w:line="240" w:lineRule="auto"/>
        <w:jc w:val="both"/>
        <w:rPr>
          <w:rFonts w:ascii="Calibri" w:eastAsia="Calibri" w:hAnsi="Calibri" w:cs="Calibri"/>
          <w:color w:val="000000"/>
        </w:rPr>
      </w:pPr>
    </w:p>
    <w:p w14:paraId="49D7C522" w14:textId="77777777" w:rsidR="00800744" w:rsidRPr="00800744"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Mortgage-Backed Security: </w:t>
      </w:r>
      <w:r w:rsidR="00800744" w:rsidRPr="00800744">
        <w:rPr>
          <w:rFonts w:ascii="Calibri" w:eastAsia="Calibri" w:hAnsi="Calibri" w:cs="Calibri"/>
          <w:bCs/>
          <w:color w:val="000000"/>
        </w:rPr>
        <w:t>A security that is backed by a pool of mortgage</w:t>
      </w:r>
      <w:r w:rsidR="007F472D">
        <w:rPr>
          <w:rFonts w:ascii="Calibri" w:eastAsia="Calibri" w:hAnsi="Calibri" w:cs="Calibri"/>
          <w:bCs/>
          <w:color w:val="000000"/>
        </w:rPr>
        <w:t xml:space="preserve">s.  Generally, the security is </w:t>
      </w:r>
      <w:r w:rsidR="00800744" w:rsidRPr="00800744">
        <w:rPr>
          <w:rFonts w:ascii="Calibri" w:eastAsia="Calibri" w:hAnsi="Calibri" w:cs="Calibri"/>
          <w:bCs/>
          <w:color w:val="000000"/>
        </w:rPr>
        <w:t>issued or guaranteed by the United States or its agencies or instrumentalities</w:t>
      </w:r>
      <w:r w:rsidR="00800744">
        <w:rPr>
          <w:rFonts w:ascii="Calibri" w:eastAsia="Calibri" w:hAnsi="Calibri" w:cs="Calibri"/>
          <w:bCs/>
          <w:color w:val="000000"/>
        </w:rPr>
        <w:t xml:space="preserve">, but also may be issued by financial institutions such as banks. </w:t>
      </w:r>
    </w:p>
    <w:p w14:paraId="75B28596" w14:textId="77777777" w:rsidR="00800744" w:rsidRDefault="00800744" w:rsidP="009D518A">
      <w:pPr>
        <w:spacing w:after="0" w:line="240" w:lineRule="auto"/>
        <w:jc w:val="both"/>
        <w:rPr>
          <w:rFonts w:ascii="Calibri" w:eastAsia="Calibri" w:hAnsi="Calibri" w:cs="Calibri"/>
          <w:b/>
          <w:bCs/>
          <w:color w:val="000000"/>
        </w:rPr>
      </w:pPr>
    </w:p>
    <w:p w14:paraId="5CBBBC55" w14:textId="77777777" w:rsidR="009D518A" w:rsidRPr="009D518A" w:rsidRDefault="009D518A" w:rsidP="009D518A">
      <w:pPr>
        <w:spacing w:after="0" w:line="240" w:lineRule="auto"/>
        <w:jc w:val="both"/>
        <w:rPr>
          <w:rFonts w:ascii="Calibri" w:eastAsia="Calibri" w:hAnsi="Calibri" w:cs="Calibri"/>
          <w:b/>
          <w:bCs/>
          <w:color w:val="000000"/>
        </w:rPr>
      </w:pPr>
      <w:r w:rsidRPr="009D518A">
        <w:rPr>
          <w:rFonts w:ascii="Calibri" w:eastAsia="Calibri" w:hAnsi="Calibri" w:cs="Calibri"/>
          <w:b/>
          <w:bCs/>
          <w:color w:val="000000"/>
        </w:rPr>
        <w:t xml:space="preserve">Municipal Bond: </w:t>
      </w:r>
      <w:r w:rsidRPr="009D518A">
        <w:rPr>
          <w:rFonts w:ascii="Calibri" w:eastAsia="Calibri" w:hAnsi="Calibri" w:cs="Calibri"/>
          <w:bCs/>
          <w:color w:val="000000"/>
        </w:rPr>
        <w:t>A municipal bond is a debt security issued by a local government, such as county, state, city, special improvement district, to finance its capital expenditures, including the construction of highways, bridges or schools. Municipal bonds can issue taxable or tax-exempt from federal, state, and local taxes.</w:t>
      </w:r>
    </w:p>
    <w:p w14:paraId="2934F800" w14:textId="77777777" w:rsidR="009D518A" w:rsidRPr="009D518A" w:rsidRDefault="009D518A" w:rsidP="009D518A">
      <w:pPr>
        <w:spacing w:after="0" w:line="240" w:lineRule="auto"/>
        <w:jc w:val="both"/>
        <w:rPr>
          <w:rFonts w:ascii="Calibri" w:eastAsia="Calibri" w:hAnsi="Calibri" w:cs="Calibri"/>
          <w:b/>
          <w:bCs/>
          <w:color w:val="000000"/>
        </w:rPr>
      </w:pPr>
    </w:p>
    <w:p w14:paraId="701AD9C9"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Mutual Fund:  </w:t>
      </w:r>
      <w:r w:rsidRPr="009D518A">
        <w:rPr>
          <w:rFonts w:ascii="Calibri" w:eastAsia="Calibri" w:hAnsi="Calibri" w:cs="Calibri"/>
          <w:bCs/>
          <w:color w:val="000000"/>
        </w:rPr>
        <w:t>A mutual fund is a professionally managed investment fund that pools money from many investors to purchase securities. These investors may be retail or institutional in nature. Mutual funds have advantages and disadvantages compared to direct investing in individual securities.</w:t>
      </w:r>
    </w:p>
    <w:p w14:paraId="5121E04A" w14:textId="77777777" w:rsidR="009D518A" w:rsidRPr="009D518A" w:rsidRDefault="009D518A" w:rsidP="009D518A">
      <w:pPr>
        <w:spacing w:after="0" w:line="240" w:lineRule="auto"/>
        <w:jc w:val="both"/>
        <w:rPr>
          <w:rFonts w:ascii="Calibri" w:eastAsia="Calibri" w:hAnsi="Calibri" w:cs="Calibri"/>
          <w:b/>
          <w:bCs/>
          <w:color w:val="000000"/>
        </w:rPr>
      </w:pPr>
    </w:p>
    <w:p w14:paraId="1BA662DB"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Nationally Recognized Statistical Rating Organization (NRSRO):  </w:t>
      </w:r>
      <w:r w:rsidRPr="009D518A">
        <w:rPr>
          <w:rFonts w:ascii="Calibri" w:eastAsia="Calibri" w:hAnsi="Calibri" w:cs="Calibri"/>
          <w:bCs/>
          <w:color w:val="000000"/>
        </w:rPr>
        <w:t xml:space="preserve">A credit rating agency that issues credit ratings that the U.S. Securities and Exchange Commission (SEC) permits other financial firms to use for certain regulatory purposes.  The most recognized NRSROs are Fitch, Moody’s, and Standard and Poor’s. </w:t>
      </w:r>
    </w:p>
    <w:p w14:paraId="592B3B95" w14:textId="77777777" w:rsidR="009D518A" w:rsidRPr="009D518A" w:rsidRDefault="009D518A" w:rsidP="009D518A">
      <w:pPr>
        <w:spacing w:after="0" w:line="240" w:lineRule="auto"/>
        <w:jc w:val="both"/>
        <w:rPr>
          <w:rFonts w:ascii="Calibri" w:eastAsia="Calibri" w:hAnsi="Calibri" w:cs="Calibri"/>
          <w:b/>
          <w:bCs/>
          <w:color w:val="000000"/>
        </w:rPr>
      </w:pPr>
    </w:p>
    <w:p w14:paraId="6A999CA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National Association of Securities Dealers (NASD)</w:t>
      </w:r>
      <w:r w:rsidRPr="009D518A">
        <w:rPr>
          <w:rFonts w:ascii="Calibri" w:eastAsia="Calibri" w:hAnsi="Calibri" w:cs="Calibri"/>
          <w:color w:val="000000"/>
        </w:rPr>
        <w:t>: A self</w:t>
      </w:r>
      <w:r w:rsidRPr="009D518A">
        <w:rPr>
          <w:rFonts w:ascii="Calibri" w:eastAsia="Calibri" w:hAnsi="Calibri" w:cs="Calibri"/>
          <w:color w:val="000000"/>
        </w:rPr>
        <w:noBreakHyphen/>
        <w:t>regulatory organization of brokers and dealers in the over</w:t>
      </w:r>
      <w:r w:rsidRPr="009D518A">
        <w:rPr>
          <w:rFonts w:ascii="Calibri" w:eastAsia="Calibri" w:hAnsi="Calibri" w:cs="Calibri"/>
          <w:color w:val="000000"/>
        </w:rPr>
        <w:noBreakHyphen/>
        <w:t>the</w:t>
      </w:r>
      <w:r w:rsidRPr="009D518A">
        <w:rPr>
          <w:rFonts w:ascii="Calibri" w:eastAsia="Calibri" w:hAnsi="Calibri" w:cs="Calibri"/>
          <w:color w:val="000000"/>
        </w:rPr>
        <w:noBreakHyphen/>
        <w:t>counter securities business.  Its regulatory mandate includes authority over firms that distribute mutual fund shares as well as other securities.</w:t>
      </w:r>
    </w:p>
    <w:p w14:paraId="221C2849" w14:textId="77777777" w:rsidR="009D518A" w:rsidRPr="009D518A" w:rsidRDefault="009D518A" w:rsidP="009D518A">
      <w:pPr>
        <w:spacing w:after="0" w:line="240" w:lineRule="auto"/>
        <w:jc w:val="both"/>
        <w:rPr>
          <w:rFonts w:ascii="Calibri" w:eastAsia="Calibri" w:hAnsi="Calibri" w:cs="Calibri"/>
          <w:b/>
          <w:bCs/>
          <w:color w:val="000000"/>
        </w:rPr>
      </w:pPr>
    </w:p>
    <w:p w14:paraId="2D423C08"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Nominal Yield</w:t>
      </w:r>
      <w:r w:rsidRPr="009D518A">
        <w:rPr>
          <w:rFonts w:ascii="Calibri" w:eastAsia="Calibri" w:hAnsi="Calibri" w:cs="Calibri"/>
          <w:color w:val="000000"/>
        </w:rPr>
        <w:t>: The stated rate of interest that a bond pays its current owner, based on par value of the security. It is also known as the "coupon," "coupon rate," or "interest rate."</w:t>
      </w:r>
    </w:p>
    <w:p w14:paraId="6105CBA2" w14:textId="77777777" w:rsidR="009D518A" w:rsidRPr="009D518A" w:rsidRDefault="009D518A" w:rsidP="009D518A">
      <w:pPr>
        <w:spacing w:after="0" w:line="240" w:lineRule="auto"/>
        <w:jc w:val="both"/>
        <w:rPr>
          <w:rFonts w:ascii="Calibri" w:eastAsia="Calibri" w:hAnsi="Calibri" w:cs="Calibri"/>
          <w:b/>
          <w:bCs/>
          <w:color w:val="000000"/>
        </w:rPr>
      </w:pPr>
    </w:p>
    <w:p w14:paraId="3661DFB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Offer</w:t>
      </w:r>
      <w:r w:rsidRPr="009D518A">
        <w:rPr>
          <w:rFonts w:ascii="Calibri" w:eastAsia="Calibri" w:hAnsi="Calibri" w:cs="Calibri"/>
          <w:color w:val="000000"/>
        </w:rPr>
        <w:t>:  An indicated price at which market participants are willing to sell a security or commodity.  Also referred to as the "Ask price."</w:t>
      </w:r>
    </w:p>
    <w:p w14:paraId="63CF5AF9" w14:textId="77777777" w:rsidR="009D518A" w:rsidRPr="009D518A" w:rsidRDefault="009D518A" w:rsidP="009D518A">
      <w:pPr>
        <w:spacing w:after="0" w:line="240" w:lineRule="auto"/>
        <w:jc w:val="both"/>
        <w:rPr>
          <w:rFonts w:ascii="Calibri" w:eastAsia="Calibri" w:hAnsi="Calibri" w:cs="Calibri"/>
          <w:color w:val="000000"/>
        </w:rPr>
      </w:pPr>
    </w:p>
    <w:p w14:paraId="24E1DBD9"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Open Market Operations:</w:t>
      </w:r>
      <w:r w:rsidRPr="009D518A">
        <w:rPr>
          <w:rFonts w:ascii="Calibri" w:eastAsia="Arial" w:hAnsi="Calibri" w:cs="Calibri"/>
          <w:color w:val="000000"/>
          <w:spacing w:val="-1"/>
        </w:rPr>
        <w:t xml:space="preserve">  Purchases and sales of government and certain other securities in the open market by the New York Federal Reserve Bank as directed by the FOMC in order to influence the volume of money and credit in the economy. Purchases inject reserves into the bank system and stimulate growth of money and credit; sales have the opposite effect. Open market operations are the Federal Reserve’s most important and most flexible monetary policy tool.</w:t>
      </w:r>
    </w:p>
    <w:p w14:paraId="07BBE210" w14:textId="77777777" w:rsidR="009D518A" w:rsidRPr="009D518A" w:rsidRDefault="009D518A" w:rsidP="009D518A">
      <w:pPr>
        <w:spacing w:after="0" w:line="240" w:lineRule="auto"/>
        <w:jc w:val="both"/>
        <w:rPr>
          <w:rFonts w:ascii="Calibri" w:eastAsia="Calibri" w:hAnsi="Calibri" w:cs="Calibri"/>
          <w:color w:val="000000"/>
        </w:rPr>
      </w:pPr>
    </w:p>
    <w:p w14:paraId="4DDC253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Option Adjusted Spread (OAS)</w:t>
      </w:r>
      <w:r w:rsidRPr="009D518A">
        <w:rPr>
          <w:rFonts w:ascii="Calibri" w:eastAsia="Calibri" w:hAnsi="Calibri" w:cs="Calibri"/>
          <w:color w:val="000000"/>
        </w:rPr>
        <w:t>:  Option-adjusted spread is the yield spread which has to be added to a benchmark yield curve to discount a security's payments to match its market price, using a dynamic pricing model that accounts for embedded options. OAS is hence model-dependent.</w:t>
      </w:r>
    </w:p>
    <w:p w14:paraId="118C07DF" w14:textId="77777777" w:rsidR="009D518A" w:rsidRPr="009D518A" w:rsidRDefault="009D518A" w:rsidP="009D518A">
      <w:pPr>
        <w:spacing w:after="0" w:line="240" w:lineRule="auto"/>
        <w:jc w:val="both"/>
        <w:rPr>
          <w:rFonts w:ascii="Calibri" w:eastAsia="Calibri" w:hAnsi="Calibri" w:cs="Calibri"/>
          <w:color w:val="000000"/>
        </w:rPr>
      </w:pPr>
    </w:p>
    <w:p w14:paraId="4416B088"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Overnight Indexed Swap (OIS):  OIS is an interest rate swap where the periodic floating payment is generally based on a return calculated from a daily compound interest investment. ... The LIBOR–OIS spread is the difference between LIBOR and the OIS rates.</w:t>
      </w:r>
    </w:p>
    <w:p w14:paraId="357F25ED" w14:textId="77777777" w:rsidR="009D518A" w:rsidRPr="009D518A" w:rsidRDefault="009D518A" w:rsidP="009D518A">
      <w:pPr>
        <w:spacing w:after="0" w:line="240" w:lineRule="auto"/>
        <w:jc w:val="both"/>
        <w:rPr>
          <w:rFonts w:ascii="Calibri" w:eastAsia="Calibri" w:hAnsi="Calibri" w:cs="Calibri"/>
          <w:color w:val="000000"/>
        </w:rPr>
      </w:pPr>
    </w:p>
    <w:p w14:paraId="69DECABD" w14:textId="63C83BE6" w:rsid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Par: </w:t>
      </w:r>
      <w:r w:rsidRPr="009D518A">
        <w:rPr>
          <w:rFonts w:ascii="Calibri" w:eastAsia="Calibri" w:hAnsi="Calibri" w:cs="Calibri"/>
          <w:color w:val="000000"/>
        </w:rPr>
        <w:t>Face value or principal value of a bond, typically $1,000 per bond.</w:t>
      </w:r>
    </w:p>
    <w:p w14:paraId="13AED7D9" w14:textId="77777777" w:rsidR="00D267AA" w:rsidRPr="009D518A" w:rsidRDefault="00D267AA" w:rsidP="009D518A">
      <w:pPr>
        <w:spacing w:after="0" w:line="240" w:lineRule="auto"/>
        <w:jc w:val="both"/>
        <w:rPr>
          <w:rFonts w:ascii="Calibri" w:eastAsia="Calibri" w:hAnsi="Calibri" w:cs="Calibri"/>
          <w:color w:val="000000"/>
        </w:rPr>
      </w:pPr>
    </w:p>
    <w:p w14:paraId="2314A61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Pa</w:t>
      </w:r>
      <w:r>
        <w:rPr>
          <w:rFonts w:ascii="Calibri" w:eastAsia="Calibri" w:hAnsi="Calibri" w:cs="Calibri"/>
          <w:b/>
          <w:color w:val="000000"/>
        </w:rPr>
        <w:t>s</w:t>
      </w:r>
      <w:r w:rsidRPr="009D518A">
        <w:rPr>
          <w:rFonts w:ascii="Calibri" w:eastAsia="Calibri" w:hAnsi="Calibri" w:cs="Calibri"/>
          <w:b/>
          <w:color w:val="000000"/>
        </w:rPr>
        <w:t>s-Thorough Securities:</w:t>
      </w:r>
      <w:r w:rsidRPr="009D518A">
        <w:rPr>
          <w:rFonts w:ascii="Calibri" w:eastAsia="Calibri" w:hAnsi="Calibri" w:cs="Calibri"/>
          <w:color w:val="000000"/>
        </w:rPr>
        <w:t xml:space="preserve"> A debt instrument that reflects an interest in a mortgage pool, consumer</w:t>
      </w:r>
    </w:p>
    <w:p w14:paraId="6A350D6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receivables pool and equipment lease-backed pool that serves as collateral for a bond.</w:t>
      </w:r>
    </w:p>
    <w:p w14:paraId="10513AF0" w14:textId="77777777" w:rsidR="009D518A" w:rsidRPr="009D518A" w:rsidRDefault="009D518A" w:rsidP="009D518A">
      <w:pPr>
        <w:spacing w:after="0" w:line="240" w:lineRule="auto"/>
        <w:jc w:val="both"/>
        <w:rPr>
          <w:rFonts w:ascii="Calibri" w:eastAsia="Calibri" w:hAnsi="Calibri" w:cs="Calibri"/>
          <w:color w:val="000000"/>
        </w:rPr>
      </w:pPr>
    </w:p>
    <w:p w14:paraId="174EB3F9"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Portfolio:</w:t>
      </w:r>
      <w:r w:rsidRPr="009D518A">
        <w:rPr>
          <w:rFonts w:ascii="Calibri" w:eastAsia="Arial" w:hAnsi="Calibri" w:cs="Calibri"/>
          <w:color w:val="000000"/>
          <w:spacing w:val="-1"/>
        </w:rPr>
        <w:t xml:space="preserve">  Collection of securities held by an investor.</w:t>
      </w:r>
    </w:p>
    <w:p w14:paraId="415B266F"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p>
    <w:p w14:paraId="60DE3508"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Positive (Normal) Yield Curve</w:t>
      </w:r>
      <w:r w:rsidRPr="009D518A">
        <w:rPr>
          <w:rFonts w:ascii="Calibri" w:eastAsia="Calibri" w:hAnsi="Calibri" w:cs="Calibri"/>
          <w:color w:val="000000"/>
        </w:rPr>
        <w:t xml:space="preserve"> </w:t>
      </w:r>
      <w:r w:rsidRPr="009D518A">
        <w:rPr>
          <w:rFonts w:ascii="Calibri" w:eastAsia="Calibri" w:hAnsi="Calibri" w:cs="Calibri"/>
          <w:color w:val="000000"/>
        </w:rPr>
        <w:noBreakHyphen/>
        <w:t xml:space="preserve"> A chart formation that illustrates short</w:t>
      </w:r>
      <w:r w:rsidRPr="009D518A">
        <w:rPr>
          <w:rFonts w:ascii="Calibri" w:eastAsia="Calibri" w:hAnsi="Calibri" w:cs="Calibri"/>
          <w:color w:val="000000"/>
        </w:rPr>
        <w:noBreakHyphen/>
        <w:t>term securities having lower yields than long</w:t>
      </w:r>
      <w:r w:rsidRPr="009D518A">
        <w:rPr>
          <w:rFonts w:ascii="Calibri" w:eastAsia="Calibri" w:hAnsi="Calibri" w:cs="Calibri"/>
          <w:color w:val="000000"/>
        </w:rPr>
        <w:noBreakHyphen/>
        <w:t>term securities.</w:t>
      </w:r>
    </w:p>
    <w:p w14:paraId="47A56366" w14:textId="77777777" w:rsidR="009D518A" w:rsidRPr="009D518A" w:rsidRDefault="009D518A" w:rsidP="009D518A">
      <w:pPr>
        <w:spacing w:after="0" w:line="240" w:lineRule="auto"/>
        <w:jc w:val="both"/>
        <w:rPr>
          <w:rFonts w:ascii="Calibri" w:eastAsia="Calibri" w:hAnsi="Calibri" w:cs="Calibri"/>
          <w:color w:val="000000"/>
        </w:rPr>
      </w:pPr>
    </w:p>
    <w:p w14:paraId="2EE324A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Premium</w:t>
      </w:r>
      <w:r w:rsidRPr="009D518A">
        <w:rPr>
          <w:rFonts w:ascii="Calibri" w:eastAsia="Calibri" w:hAnsi="Calibri" w:cs="Calibri"/>
          <w:color w:val="000000"/>
        </w:rPr>
        <w:t>:  The amount by which the price paid for a security exceeds the security's par value.</w:t>
      </w:r>
    </w:p>
    <w:p w14:paraId="5B03253D"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p>
    <w:p w14:paraId="22B882EF" w14:textId="77777777" w:rsidR="009D518A" w:rsidRPr="009D518A" w:rsidRDefault="009D518A" w:rsidP="009D518A">
      <w:pPr>
        <w:tabs>
          <w:tab w:val="left" w:pos="720"/>
        </w:tabs>
        <w:spacing w:after="0" w:line="240" w:lineRule="auto"/>
        <w:jc w:val="both"/>
        <w:rPr>
          <w:rFonts w:ascii="Calibri" w:eastAsia="Arial" w:hAnsi="Calibri" w:cs="Calibri"/>
          <w:color w:val="000000"/>
          <w:spacing w:val="-1"/>
        </w:rPr>
      </w:pPr>
      <w:r w:rsidRPr="009D518A">
        <w:rPr>
          <w:rFonts w:ascii="Calibri" w:eastAsia="Arial" w:hAnsi="Calibri" w:cs="Calibri"/>
          <w:b/>
          <w:color w:val="000000"/>
          <w:spacing w:val="-1"/>
        </w:rPr>
        <w:t>Primary Dealer:</w:t>
      </w:r>
      <w:r w:rsidRPr="009D518A">
        <w:rPr>
          <w:rFonts w:ascii="Calibri" w:eastAsia="Arial" w:hAnsi="Calibri" w:cs="Calibri"/>
          <w:color w:val="000000"/>
          <w:spacing w:val="-1"/>
        </w:rPr>
        <w:t xml:space="preserve">  A group of government securities dealers who submit daily reports of market activity and positions and monthly financial statements to the Federal Reserve Bank of New York and are subject to its informal oversight.  Primary dealers include Securities and Exchange Commission (SEC)-registered securities broker-dealers and banks.</w:t>
      </w:r>
    </w:p>
    <w:p w14:paraId="1B83C246" w14:textId="77777777" w:rsidR="009D518A" w:rsidRPr="009D518A" w:rsidRDefault="009D518A" w:rsidP="009D518A">
      <w:pPr>
        <w:spacing w:after="0" w:line="240" w:lineRule="auto"/>
        <w:jc w:val="both"/>
        <w:rPr>
          <w:rFonts w:ascii="Calibri" w:eastAsia="Calibri" w:hAnsi="Calibri" w:cs="Calibri"/>
          <w:color w:val="000000"/>
        </w:rPr>
      </w:pPr>
    </w:p>
    <w:p w14:paraId="28C0BAC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Prime Rate</w:t>
      </w:r>
      <w:r w:rsidRPr="009D518A">
        <w:rPr>
          <w:rFonts w:ascii="Calibri" w:eastAsia="Calibri" w:hAnsi="Calibri" w:cs="Calibri"/>
          <w:color w:val="000000"/>
        </w:rPr>
        <w:t xml:space="preserve"> </w:t>
      </w:r>
      <w:r w:rsidRPr="009D518A">
        <w:rPr>
          <w:rFonts w:ascii="Calibri" w:eastAsia="Calibri" w:hAnsi="Calibri" w:cs="Calibri"/>
          <w:color w:val="000000"/>
        </w:rPr>
        <w:noBreakHyphen/>
        <w:t xml:space="preserve"> A preferred interest rate charged by commercial banks to their most creditworthy customers.  Many interest rates are keyed to this rate.</w:t>
      </w:r>
    </w:p>
    <w:p w14:paraId="04CABC8A" w14:textId="77777777" w:rsidR="009D518A" w:rsidRPr="009D518A" w:rsidRDefault="009D518A" w:rsidP="009D518A">
      <w:pPr>
        <w:spacing w:after="0" w:line="240" w:lineRule="auto"/>
        <w:jc w:val="both"/>
        <w:rPr>
          <w:rFonts w:ascii="Calibri" w:eastAsia="Calibri" w:hAnsi="Calibri" w:cs="Calibri"/>
          <w:color w:val="000000"/>
        </w:rPr>
      </w:pPr>
    </w:p>
    <w:p w14:paraId="70AFB5D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Principal</w:t>
      </w:r>
      <w:r w:rsidRPr="009D518A">
        <w:rPr>
          <w:rFonts w:ascii="Calibri" w:eastAsia="Calibri" w:hAnsi="Calibri" w:cs="Calibri"/>
          <w:color w:val="000000"/>
        </w:rPr>
        <w:t xml:space="preserve"> </w:t>
      </w:r>
      <w:r w:rsidRPr="009D518A">
        <w:rPr>
          <w:rFonts w:ascii="Calibri" w:eastAsia="Calibri" w:hAnsi="Calibri" w:cs="Calibri"/>
          <w:color w:val="000000"/>
        </w:rPr>
        <w:noBreakHyphen/>
        <w:t xml:space="preserve"> The face value or par value of a debt instrument.  Also may refer to the amount of capital invested in a given security.</w:t>
      </w:r>
    </w:p>
    <w:p w14:paraId="1FE03D1F" w14:textId="77777777" w:rsidR="009D518A" w:rsidRPr="009D518A" w:rsidRDefault="009D518A" w:rsidP="009D518A">
      <w:pPr>
        <w:spacing w:after="0" w:line="240" w:lineRule="auto"/>
        <w:jc w:val="both"/>
        <w:rPr>
          <w:rFonts w:ascii="Calibri" w:eastAsia="Calibri" w:hAnsi="Calibri" w:cs="Calibri"/>
          <w:b/>
          <w:bCs/>
          <w:color w:val="000000"/>
        </w:rPr>
      </w:pPr>
    </w:p>
    <w:p w14:paraId="78958854"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Private Placements:</w:t>
      </w:r>
      <w:r w:rsidRPr="009D518A">
        <w:rPr>
          <w:rFonts w:ascii="Calibri" w:eastAsia="Calibri" w:hAnsi="Calibri" w:cs="Calibri"/>
          <w:bCs/>
          <w:color w:val="000000"/>
        </w:rPr>
        <w:t xml:space="preserve">  Securities that do not have to be registered with the Securities and Exchange Commission because they are offered to a limited number of sophisticated investors.</w:t>
      </w:r>
    </w:p>
    <w:p w14:paraId="1B9BF5F4" w14:textId="77777777" w:rsidR="009D518A" w:rsidRPr="009D518A" w:rsidRDefault="009D518A" w:rsidP="009D518A">
      <w:pPr>
        <w:spacing w:after="0" w:line="240" w:lineRule="auto"/>
        <w:jc w:val="both"/>
        <w:rPr>
          <w:rFonts w:ascii="Calibri" w:eastAsia="Calibri" w:hAnsi="Calibri" w:cs="Calibri"/>
          <w:b/>
          <w:bCs/>
          <w:color w:val="000000"/>
        </w:rPr>
      </w:pPr>
    </w:p>
    <w:p w14:paraId="493759C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Prospectus</w:t>
      </w:r>
      <w:r w:rsidRPr="009D518A">
        <w:rPr>
          <w:rFonts w:ascii="Calibri" w:eastAsia="Calibri" w:hAnsi="Calibri" w:cs="Calibri"/>
          <w:color w:val="000000"/>
        </w:rPr>
        <w:t xml:space="preserve"> </w:t>
      </w:r>
      <w:r w:rsidRPr="009D518A">
        <w:rPr>
          <w:rFonts w:ascii="Calibri" w:eastAsia="Calibri" w:hAnsi="Calibri" w:cs="Calibri"/>
          <w:color w:val="000000"/>
        </w:rPr>
        <w:noBreakHyphen/>
        <w:t xml:space="preserve"> A legal document that must be provided to any prospective purchaser of a new securities offering registered with the SEC.  This can include information on the issuer, the issuer's business, the proposed use of proceeds, the experience of the issuer's management, and certain certified financial statements.</w:t>
      </w:r>
    </w:p>
    <w:p w14:paraId="6B7CBDE0" w14:textId="0CC93DC3" w:rsidR="009D518A" w:rsidRDefault="00182DCD" w:rsidP="009D518A">
      <w:pPr>
        <w:spacing w:after="0" w:line="240" w:lineRule="auto"/>
        <w:jc w:val="both"/>
        <w:rPr>
          <w:rFonts w:ascii="Calibri" w:eastAsia="Calibri" w:hAnsi="Calibri" w:cs="Calibri"/>
          <w:color w:val="000000"/>
        </w:rPr>
      </w:pPr>
      <w:r w:rsidRPr="00182DCD">
        <w:rPr>
          <w:rFonts w:ascii="Calibri" w:eastAsia="Calibri" w:hAnsi="Calibri" w:cs="Calibri"/>
          <w:b/>
          <w:color w:val="000000"/>
        </w:rPr>
        <w:lastRenderedPageBreak/>
        <w:t>Prudent Person/Investor Standard:</w:t>
      </w:r>
      <w:r>
        <w:rPr>
          <w:rFonts w:ascii="Calibri" w:eastAsia="Calibri" w:hAnsi="Calibri" w:cs="Calibri"/>
          <w:color w:val="000000"/>
        </w:rPr>
        <w:t xml:space="preserve">  </w:t>
      </w:r>
      <w:r w:rsidRPr="00182DCD">
        <w:rPr>
          <w:rFonts w:ascii="Calibri" w:eastAsia="Calibri" w:hAnsi="Calibri" w:cs="Calibri"/>
          <w:color w:val="000000"/>
        </w:rPr>
        <w:t>An investment standard that outlines the fiduciary responsibilities of public funds investors relating to investment practices.</w:t>
      </w:r>
    </w:p>
    <w:p w14:paraId="7A8D056B" w14:textId="77777777" w:rsidR="00290AAF" w:rsidRPr="009D518A" w:rsidRDefault="00290AAF" w:rsidP="009D518A">
      <w:pPr>
        <w:spacing w:after="0" w:line="240" w:lineRule="auto"/>
        <w:jc w:val="both"/>
        <w:rPr>
          <w:rFonts w:ascii="Calibri" w:eastAsia="Calibri" w:hAnsi="Calibri" w:cs="Calibri"/>
          <w:color w:val="000000"/>
        </w:rPr>
      </w:pPr>
    </w:p>
    <w:p w14:paraId="2B8D2141"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Range Notes:</w:t>
      </w:r>
      <w:r w:rsidRPr="009D518A">
        <w:rPr>
          <w:rFonts w:ascii="Calibri" w:eastAsia="Calibri" w:hAnsi="Calibri" w:cs="Calibri"/>
          <w:color w:val="000000"/>
        </w:rPr>
        <w:t xml:space="preserve">  Notes which pay interest only if the underlying index upon which it is benchmarked, falls</w:t>
      </w:r>
    </w:p>
    <w:p w14:paraId="60417D3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within a certain range.</w:t>
      </w:r>
    </w:p>
    <w:p w14:paraId="4B6DDFE7" w14:textId="77777777" w:rsidR="009D518A" w:rsidRPr="009D518A" w:rsidRDefault="009D518A" w:rsidP="009D518A">
      <w:pPr>
        <w:spacing w:after="0" w:line="240" w:lineRule="auto"/>
        <w:jc w:val="both"/>
        <w:rPr>
          <w:rFonts w:ascii="Calibri" w:eastAsia="Calibri" w:hAnsi="Calibri" w:cs="Calibri"/>
          <w:color w:val="000000"/>
        </w:rPr>
      </w:pPr>
    </w:p>
    <w:p w14:paraId="513385D8" w14:textId="77777777" w:rsidR="009D518A" w:rsidRPr="009D518A" w:rsidRDefault="009D518A" w:rsidP="009D518A">
      <w:pPr>
        <w:spacing w:after="0" w:line="240" w:lineRule="auto"/>
        <w:jc w:val="both"/>
        <w:rPr>
          <w:rFonts w:ascii="Calibri" w:eastAsia="Calibri" w:hAnsi="Calibri" w:cs="Calibri"/>
          <w:b/>
          <w:bCs/>
          <w:color w:val="000000"/>
        </w:rPr>
      </w:pPr>
      <w:r w:rsidRPr="009D518A">
        <w:rPr>
          <w:rFonts w:ascii="Calibri" w:eastAsia="Calibri" w:hAnsi="Calibri" w:cs="Calibri"/>
          <w:b/>
          <w:bCs/>
          <w:color w:val="000000"/>
        </w:rPr>
        <w:t xml:space="preserve">Real Adjustment: </w:t>
      </w:r>
      <w:r w:rsidRPr="009D518A">
        <w:rPr>
          <w:rFonts w:ascii="Calibri" w:eastAsia="Calibri" w:hAnsi="Calibri" w:cs="Calibri"/>
          <w:bCs/>
          <w:color w:val="000000"/>
        </w:rPr>
        <w:t xml:space="preserve"> When a specific metric or economic indicator is adjusted for inflation.</w:t>
      </w:r>
    </w:p>
    <w:p w14:paraId="40A2A302" w14:textId="77777777" w:rsidR="009D518A" w:rsidRPr="009D518A" w:rsidRDefault="009D518A" w:rsidP="009D518A">
      <w:pPr>
        <w:spacing w:after="0" w:line="240" w:lineRule="auto"/>
        <w:jc w:val="both"/>
        <w:rPr>
          <w:rFonts w:ascii="Calibri" w:eastAsia="Calibri" w:hAnsi="Calibri" w:cs="Calibri"/>
          <w:b/>
          <w:bCs/>
          <w:color w:val="000000"/>
        </w:rPr>
      </w:pPr>
    </w:p>
    <w:p w14:paraId="3A546103"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Regional Dealer:  </w:t>
      </w:r>
      <w:r w:rsidRPr="009D518A">
        <w:rPr>
          <w:rFonts w:ascii="Calibri" w:eastAsia="Calibri" w:hAnsi="Calibri" w:cs="Calibri"/>
          <w:bCs/>
          <w:color w:val="000000"/>
        </w:rPr>
        <w:t xml:space="preserve">Non-Primary broker-dealers and banks, which transact in the fixed-income markets. </w:t>
      </w:r>
    </w:p>
    <w:p w14:paraId="521A8F66" w14:textId="77777777" w:rsidR="009D518A" w:rsidRDefault="009D518A" w:rsidP="009D518A">
      <w:pPr>
        <w:spacing w:after="0" w:line="240" w:lineRule="auto"/>
        <w:jc w:val="both"/>
        <w:rPr>
          <w:rFonts w:ascii="Calibri" w:eastAsia="Calibri" w:hAnsi="Calibri" w:cs="Calibri"/>
          <w:b/>
          <w:bCs/>
          <w:color w:val="000000"/>
        </w:rPr>
      </w:pPr>
    </w:p>
    <w:p w14:paraId="5FFC17B1" w14:textId="77777777" w:rsidR="00BE6103" w:rsidRDefault="00BE6103" w:rsidP="009D518A">
      <w:pPr>
        <w:spacing w:after="0" w:line="240" w:lineRule="auto"/>
        <w:jc w:val="both"/>
        <w:rPr>
          <w:rFonts w:ascii="Calibri" w:eastAsia="Calibri" w:hAnsi="Calibri" w:cs="Calibri"/>
          <w:b/>
          <w:bCs/>
          <w:color w:val="000000"/>
        </w:rPr>
      </w:pPr>
    </w:p>
    <w:p w14:paraId="6525C0C2" w14:textId="77777777" w:rsidR="00BE6103" w:rsidRPr="009D518A" w:rsidRDefault="00BE6103" w:rsidP="009D518A">
      <w:pPr>
        <w:spacing w:after="0" w:line="240" w:lineRule="auto"/>
        <w:jc w:val="both"/>
        <w:rPr>
          <w:rFonts w:ascii="Calibri" w:eastAsia="Calibri" w:hAnsi="Calibri" w:cs="Calibri"/>
          <w:b/>
          <w:bCs/>
          <w:color w:val="000000"/>
        </w:rPr>
      </w:pPr>
    </w:p>
    <w:p w14:paraId="7460BC0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Regular Settlement</w:t>
      </w:r>
      <w:r w:rsidRPr="009D518A">
        <w:rPr>
          <w:rFonts w:ascii="Calibri" w:eastAsia="Calibri" w:hAnsi="Calibri" w:cs="Calibri"/>
          <w:color w:val="000000"/>
        </w:rPr>
        <w:t>:  Securities settlement that calls for delivery and payment on the next business day following the trade day for government securities and the second business day following the trade date for corporate and municipal securities.  Money market funds and money market instruments are settled on a same day basis.</w:t>
      </w:r>
    </w:p>
    <w:p w14:paraId="3E1B15F1" w14:textId="77777777" w:rsidR="009D518A" w:rsidRPr="009D518A" w:rsidRDefault="009D518A" w:rsidP="009D518A">
      <w:pPr>
        <w:spacing w:after="0" w:line="240" w:lineRule="auto"/>
        <w:jc w:val="both"/>
        <w:rPr>
          <w:rFonts w:ascii="Calibri" w:eastAsia="Calibri" w:hAnsi="Calibri" w:cs="Calibri"/>
          <w:color w:val="000000"/>
        </w:rPr>
      </w:pPr>
    </w:p>
    <w:p w14:paraId="30258283"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Reinvestment Risk</w:t>
      </w:r>
      <w:r w:rsidRPr="009D518A">
        <w:rPr>
          <w:rFonts w:ascii="Calibri" w:eastAsia="Calibri" w:hAnsi="Calibri" w:cs="Calibri"/>
          <w:color w:val="000000"/>
        </w:rPr>
        <w:t>:  The risk that a fixed</w:t>
      </w:r>
      <w:r w:rsidRPr="009D518A">
        <w:rPr>
          <w:rFonts w:ascii="Calibri" w:eastAsia="Calibri" w:hAnsi="Calibri" w:cs="Calibri"/>
          <w:color w:val="000000"/>
        </w:rPr>
        <w:noBreakHyphen/>
        <w:t>income investor will be unable to reinvest income proceeds from a security holding at the same rate of return currently generated by that holding.</w:t>
      </w:r>
    </w:p>
    <w:p w14:paraId="2A0CABC4" w14:textId="77777777" w:rsidR="009D518A" w:rsidRPr="009D518A" w:rsidRDefault="009D518A" w:rsidP="009D518A">
      <w:pPr>
        <w:spacing w:after="0" w:line="240" w:lineRule="auto"/>
        <w:jc w:val="both"/>
        <w:rPr>
          <w:rFonts w:ascii="Calibri" w:eastAsia="Calibri" w:hAnsi="Calibri" w:cs="Calibri"/>
          <w:color w:val="000000"/>
        </w:rPr>
      </w:pPr>
    </w:p>
    <w:p w14:paraId="43263F51" w14:textId="27729227" w:rsid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Repurchase Agreement (Repo or RP)</w:t>
      </w:r>
      <w:r w:rsidRPr="009D518A">
        <w:rPr>
          <w:rFonts w:ascii="Calibri" w:eastAsia="Calibri" w:hAnsi="Calibri" w:cs="Calibri"/>
          <w:color w:val="000000"/>
        </w:rPr>
        <w:t>:  An agreement of one party to sell securities at a specified price to a second party and a simultaneous agreement of the first party to repurchase the securities at a specified price or at a specified later date.</w:t>
      </w:r>
    </w:p>
    <w:p w14:paraId="715DB915" w14:textId="77777777" w:rsidR="00182DCD" w:rsidRPr="009D518A" w:rsidRDefault="00182DCD" w:rsidP="009D518A">
      <w:pPr>
        <w:spacing w:after="0" w:line="240" w:lineRule="auto"/>
        <w:jc w:val="both"/>
        <w:rPr>
          <w:rFonts w:ascii="Calibri" w:eastAsia="Calibri" w:hAnsi="Calibri" w:cs="Calibri"/>
          <w:color w:val="000000"/>
        </w:rPr>
      </w:pPr>
    </w:p>
    <w:p w14:paraId="2D57DA59"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Reverse Repurchase Agreement (Reverse Repo)</w:t>
      </w:r>
      <w:r w:rsidRPr="009D518A">
        <w:rPr>
          <w:rFonts w:ascii="Calibri" w:eastAsia="Calibri" w:hAnsi="Calibri" w:cs="Calibri"/>
          <w:color w:val="000000"/>
        </w:rPr>
        <w:t>:  An agreement of one party to purchase securities at a specified price from a second party and a simultaneous agreement by the first party to resell the securities at a specified price to the second party on demand or at a specified date.</w:t>
      </w:r>
    </w:p>
    <w:p w14:paraId="1E604C98" w14:textId="77777777" w:rsidR="009D518A" w:rsidRPr="009D518A" w:rsidRDefault="009D518A" w:rsidP="009D518A">
      <w:pPr>
        <w:spacing w:after="0" w:line="240" w:lineRule="auto"/>
        <w:jc w:val="both"/>
        <w:rPr>
          <w:rFonts w:ascii="Calibri" w:eastAsia="Calibri" w:hAnsi="Calibri" w:cs="Calibri"/>
          <w:color w:val="000000"/>
        </w:rPr>
      </w:pPr>
    </w:p>
    <w:p w14:paraId="6F6728E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Rule 2a</w:t>
      </w:r>
      <w:r w:rsidRPr="009D518A">
        <w:rPr>
          <w:rFonts w:ascii="Calibri" w:eastAsia="Calibri" w:hAnsi="Calibri" w:cs="Calibri"/>
          <w:b/>
          <w:bCs/>
          <w:color w:val="000000"/>
        </w:rPr>
        <w:noBreakHyphen/>
        <w:t>7 of the Investment Company Act</w:t>
      </w:r>
      <w:r w:rsidRPr="009D518A">
        <w:rPr>
          <w:rFonts w:ascii="Calibri" w:eastAsia="Calibri" w:hAnsi="Calibri" w:cs="Calibri"/>
          <w:color w:val="000000"/>
        </w:rPr>
        <w:t>:  Applies to all money market mutual funds and mandates such funds to maintain certain standards, including a 13</w:t>
      </w:r>
      <w:r w:rsidRPr="009D518A">
        <w:rPr>
          <w:rFonts w:ascii="Calibri" w:eastAsia="Calibri" w:hAnsi="Calibri" w:cs="Calibri"/>
          <w:color w:val="000000"/>
        </w:rPr>
        <w:noBreakHyphen/>
        <w:t xml:space="preserve"> month maturity limit and a 90</w:t>
      </w:r>
      <w:r w:rsidRPr="009D518A">
        <w:rPr>
          <w:rFonts w:ascii="Calibri" w:eastAsia="Calibri" w:hAnsi="Calibri" w:cs="Calibri"/>
          <w:color w:val="000000"/>
        </w:rPr>
        <w:noBreakHyphen/>
        <w:t>day average maturity on investments, to help maintain a constant net asset value of one dollar ($1.00).</w:t>
      </w:r>
    </w:p>
    <w:p w14:paraId="6398FCE8" w14:textId="77777777" w:rsidR="009D518A" w:rsidRPr="009D518A" w:rsidRDefault="009D518A" w:rsidP="009D518A">
      <w:pPr>
        <w:spacing w:after="0" w:line="240" w:lineRule="auto"/>
        <w:jc w:val="both"/>
        <w:rPr>
          <w:rFonts w:ascii="Calibri" w:eastAsia="Calibri" w:hAnsi="Calibri" w:cs="Calibri"/>
          <w:color w:val="000000"/>
        </w:rPr>
      </w:pPr>
    </w:p>
    <w:p w14:paraId="7F2B4C22"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Safekeeping</w:t>
      </w:r>
      <w:r w:rsidRPr="009D518A">
        <w:rPr>
          <w:rFonts w:ascii="Calibri" w:eastAsia="Calibri" w:hAnsi="Calibri" w:cs="Calibri"/>
          <w:color w:val="000000"/>
        </w:rPr>
        <w:t xml:space="preserve">: The holding of assets (e.g., securities) by a financial institution. </w:t>
      </w:r>
    </w:p>
    <w:p w14:paraId="3B14BE38" w14:textId="77777777" w:rsidR="009D518A" w:rsidRPr="009D518A" w:rsidRDefault="009D518A" w:rsidP="009D518A">
      <w:pPr>
        <w:spacing w:after="0" w:line="240" w:lineRule="auto"/>
        <w:jc w:val="both"/>
        <w:rPr>
          <w:rFonts w:ascii="Calibri" w:eastAsia="Calibri" w:hAnsi="Calibri" w:cs="Calibri"/>
          <w:color w:val="000000"/>
        </w:rPr>
      </w:pPr>
    </w:p>
    <w:p w14:paraId="25D24C9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Secondary Market:</w:t>
      </w:r>
      <w:r w:rsidRPr="009D518A">
        <w:rPr>
          <w:rFonts w:ascii="Calibri" w:eastAsia="Calibri" w:hAnsi="Calibri" w:cs="Calibri"/>
          <w:color w:val="000000"/>
        </w:rPr>
        <w:t xml:space="preserve">  A market made for the purchase and sale of outstanding issues following the initial distribution.</w:t>
      </w:r>
    </w:p>
    <w:p w14:paraId="0FD08244" w14:textId="77777777" w:rsidR="009D518A" w:rsidRPr="009D518A" w:rsidRDefault="009D518A" w:rsidP="009D518A">
      <w:pPr>
        <w:spacing w:after="0" w:line="240" w:lineRule="auto"/>
        <w:jc w:val="both"/>
        <w:rPr>
          <w:rFonts w:ascii="Calibri" w:eastAsia="Calibri" w:hAnsi="Calibri" w:cs="Calibri"/>
          <w:color w:val="000000"/>
        </w:rPr>
      </w:pPr>
    </w:p>
    <w:p w14:paraId="4D221C88"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Securities and Exchange Commission (SEC): </w:t>
      </w:r>
      <w:r w:rsidRPr="009D518A">
        <w:rPr>
          <w:rFonts w:ascii="Calibri" w:eastAsia="Calibri" w:hAnsi="Calibri" w:cs="Calibri"/>
          <w:color w:val="000000"/>
        </w:rPr>
        <w:t>The government agency that regulates and supervises the securities industry.  The commission administers federal law, formulates and enforces rules to protect against malpractice, and seeks to ensure that companies provide the fullest possible disclosure to investors.  All of the national exchanges and virtually all institutions in the securities industry fall under its jurisdiction.</w:t>
      </w:r>
    </w:p>
    <w:p w14:paraId="30AD5F3B" w14:textId="77777777" w:rsidR="009D518A" w:rsidRPr="009D518A" w:rsidRDefault="009D518A" w:rsidP="009D518A">
      <w:pPr>
        <w:spacing w:after="0" w:line="240" w:lineRule="auto"/>
        <w:jc w:val="both"/>
        <w:rPr>
          <w:rFonts w:ascii="Calibri" w:eastAsia="Calibri" w:hAnsi="Calibri" w:cs="Calibri"/>
          <w:b/>
          <w:bCs/>
          <w:color w:val="000000"/>
        </w:rPr>
      </w:pPr>
    </w:p>
    <w:p w14:paraId="062B1B66" w14:textId="77777777" w:rsidR="009D518A" w:rsidRPr="009D518A" w:rsidRDefault="009D518A" w:rsidP="009D518A">
      <w:pPr>
        <w:spacing w:after="0" w:line="240" w:lineRule="auto"/>
        <w:jc w:val="both"/>
        <w:rPr>
          <w:rFonts w:ascii="Calibri" w:eastAsia="Calibri" w:hAnsi="Calibri" w:cs="Calibri"/>
          <w:b/>
          <w:bCs/>
          <w:color w:val="000000"/>
        </w:rPr>
      </w:pPr>
      <w:r w:rsidRPr="009D518A">
        <w:rPr>
          <w:rFonts w:ascii="Calibri" w:eastAsia="Calibri" w:hAnsi="Calibri" w:cs="Calibri"/>
          <w:b/>
          <w:bCs/>
          <w:color w:val="000000"/>
        </w:rPr>
        <w:t xml:space="preserve">SEC RULE l5(C))3-1:  </w:t>
      </w:r>
      <w:r w:rsidRPr="009D518A">
        <w:rPr>
          <w:rFonts w:ascii="Calibri" w:eastAsia="Calibri" w:hAnsi="Calibri" w:cs="Calibri"/>
          <w:bCs/>
          <w:color w:val="000000"/>
        </w:rPr>
        <w:t>See Uniform Net Capital Rule.</w:t>
      </w:r>
    </w:p>
    <w:p w14:paraId="3EC6DE0A" w14:textId="77777777" w:rsidR="009D518A" w:rsidRPr="009D518A" w:rsidRDefault="009D518A" w:rsidP="009D518A">
      <w:pPr>
        <w:spacing w:after="0" w:line="240" w:lineRule="auto"/>
        <w:jc w:val="both"/>
        <w:rPr>
          <w:rFonts w:ascii="Calibri" w:eastAsia="Calibri" w:hAnsi="Calibri" w:cs="Calibri"/>
          <w:b/>
          <w:bCs/>
          <w:color w:val="000000"/>
        </w:rPr>
      </w:pPr>
    </w:p>
    <w:p w14:paraId="6E40F222"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Securities Lending</w:t>
      </w:r>
      <w:r w:rsidRPr="009D518A">
        <w:rPr>
          <w:rFonts w:ascii="Calibri" w:eastAsia="Calibri" w:hAnsi="Calibri" w:cs="Calibri"/>
          <w:color w:val="000000"/>
        </w:rPr>
        <w:t xml:space="preserve">:  </w:t>
      </w:r>
      <w:r w:rsidRPr="009D518A">
        <w:rPr>
          <w:rFonts w:ascii="Calibri" w:eastAsia="Calibri" w:hAnsi="Calibri" w:cs="Calibri"/>
          <w:bCs/>
          <w:color w:val="000000"/>
        </w:rPr>
        <w:t xml:space="preserve">Securities lending is when entities transfer or “loan” their securities to broker-dealers in return for cash collateral and simultaneously agree to return the collateral in exchange for the same securities in the future.  Entities then invest the cash received as collateral in allowable investments, such </w:t>
      </w:r>
      <w:r w:rsidRPr="009D518A">
        <w:rPr>
          <w:rFonts w:ascii="Calibri" w:eastAsia="Calibri" w:hAnsi="Calibri" w:cs="Calibri"/>
          <w:bCs/>
          <w:color w:val="000000"/>
        </w:rPr>
        <w:lastRenderedPageBreak/>
        <w:t>as commercial paper, at a rate that exceeds the “rebate” or loan rate paid to the broker-dealer for the cash collateral.  These transactions are structured to result in earning an incremental income on a portion of the investment portfolio.  The amount of securities loaned from the portfolio and the income generated is dependent upon market conditions.</w:t>
      </w:r>
    </w:p>
    <w:p w14:paraId="4C95EDA6" w14:textId="77777777" w:rsidR="009D518A" w:rsidRPr="009D518A" w:rsidRDefault="009D518A" w:rsidP="009D518A">
      <w:pPr>
        <w:spacing w:after="0" w:line="240" w:lineRule="auto"/>
        <w:jc w:val="both"/>
        <w:rPr>
          <w:rFonts w:ascii="Calibri" w:eastAsia="Calibri" w:hAnsi="Calibri" w:cs="Calibri"/>
          <w:color w:val="000000"/>
        </w:rPr>
      </w:pPr>
    </w:p>
    <w:p w14:paraId="2ECAD757"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Security Swap:</w:t>
      </w:r>
      <w:r w:rsidRPr="009D518A">
        <w:rPr>
          <w:rFonts w:ascii="Calibri" w:eastAsia="Calibri" w:hAnsi="Calibri" w:cs="Calibri"/>
          <w:color w:val="000000"/>
        </w:rPr>
        <w:t xml:space="preserve">  Selling one asset and buying another.</w:t>
      </w:r>
    </w:p>
    <w:p w14:paraId="36B3FCDF" w14:textId="77777777" w:rsidR="009D518A" w:rsidRPr="009D518A" w:rsidRDefault="009D518A" w:rsidP="009D518A">
      <w:pPr>
        <w:spacing w:after="0" w:line="240" w:lineRule="auto"/>
        <w:jc w:val="both"/>
        <w:rPr>
          <w:rFonts w:ascii="Calibri" w:eastAsia="Calibri" w:hAnsi="Calibri" w:cs="Calibri"/>
          <w:color w:val="000000"/>
        </w:rPr>
      </w:pPr>
    </w:p>
    <w:p w14:paraId="31F8CFC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Securities Industry and Financial Markets Association (SIFMA):</w:t>
      </w:r>
      <w:r w:rsidRPr="009D518A">
        <w:rPr>
          <w:rFonts w:ascii="Calibri" w:eastAsia="Calibri" w:hAnsi="Calibri" w:cs="Calibri"/>
          <w:color w:val="000000"/>
        </w:rPr>
        <w:t xml:space="preserve">   SIFMA is the leading trade association for broker-dealers, investment banks and asset managers operating in the U.S. and global capital markets. </w:t>
      </w:r>
    </w:p>
    <w:p w14:paraId="3148CEA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SIFMA was formed in 2006, from the merger of the Bond Market Association and the Securities Industry Association.  SIFMA also provides a recommended holiday schedule for the U.S. financial markets.</w:t>
      </w:r>
    </w:p>
    <w:p w14:paraId="512DAF91" w14:textId="77777777" w:rsidR="009D518A" w:rsidRPr="009D518A" w:rsidRDefault="009D518A" w:rsidP="009D518A">
      <w:pPr>
        <w:spacing w:after="0" w:line="240" w:lineRule="auto"/>
        <w:jc w:val="both"/>
        <w:rPr>
          <w:rFonts w:ascii="Calibri" w:eastAsia="Calibri" w:hAnsi="Calibri" w:cs="Calibri"/>
          <w:color w:val="000000"/>
        </w:rPr>
      </w:pPr>
    </w:p>
    <w:p w14:paraId="60B53D04"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Standard and Poor’s (S&amp;P)</w:t>
      </w:r>
      <w:r w:rsidRPr="009D518A">
        <w:rPr>
          <w:rFonts w:ascii="Calibri" w:eastAsia="Calibri" w:hAnsi="Calibri" w:cs="Calibri"/>
          <w:color w:val="000000"/>
        </w:rPr>
        <w:t xml:space="preserve">: A company that as one of its </w:t>
      </w:r>
      <w:proofErr w:type="gramStart"/>
      <w:r w:rsidRPr="009D518A">
        <w:rPr>
          <w:rFonts w:ascii="Calibri" w:eastAsia="Calibri" w:hAnsi="Calibri" w:cs="Calibri"/>
          <w:color w:val="000000"/>
        </w:rPr>
        <w:t>services,</w:t>
      </w:r>
      <w:proofErr w:type="gramEnd"/>
      <w:r w:rsidRPr="009D518A">
        <w:rPr>
          <w:rFonts w:ascii="Calibri" w:eastAsia="Calibri" w:hAnsi="Calibri" w:cs="Calibri"/>
          <w:color w:val="000000"/>
        </w:rPr>
        <w:t xml:space="preserve"> analyzes and rates securities (</w:t>
      </w:r>
      <w:proofErr w:type="gramStart"/>
      <w:r w:rsidRPr="009D518A">
        <w:rPr>
          <w:rFonts w:ascii="Calibri" w:eastAsia="Calibri" w:hAnsi="Calibri" w:cs="Calibri"/>
          <w:color w:val="000000"/>
        </w:rPr>
        <w:t>similar to</w:t>
      </w:r>
      <w:proofErr w:type="gramEnd"/>
      <w:r w:rsidRPr="009D518A">
        <w:rPr>
          <w:rFonts w:ascii="Calibri" w:eastAsia="Calibri" w:hAnsi="Calibri" w:cs="Calibri"/>
          <w:color w:val="000000"/>
        </w:rPr>
        <w:t xml:space="preserve"> Moody’s Investors Service).</w:t>
      </w:r>
    </w:p>
    <w:p w14:paraId="23F2BF83" w14:textId="77777777" w:rsidR="009D518A" w:rsidRPr="009D518A" w:rsidRDefault="009D518A" w:rsidP="009D518A">
      <w:pPr>
        <w:spacing w:after="0" w:line="240" w:lineRule="auto"/>
        <w:jc w:val="both"/>
        <w:rPr>
          <w:rFonts w:ascii="Calibri" w:eastAsia="Calibri" w:hAnsi="Calibri" w:cs="Calibri"/>
          <w:color w:val="000000"/>
        </w:rPr>
      </w:pPr>
    </w:p>
    <w:p w14:paraId="32A9BE23"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Standard of Prudence: </w:t>
      </w:r>
      <w:r w:rsidRPr="009D518A">
        <w:rPr>
          <w:rFonts w:ascii="Calibri" w:eastAsia="Calibri" w:hAnsi="Calibri" w:cs="Calibri"/>
          <w:color w:val="000000"/>
        </w:rPr>
        <w:t xml:space="preserve"> An investment standard outlining the fiduciary responsibilities of public funds investors relating to investment practices.  Generally, the Prudent Person and Prudent Investor are used, with the Prudent Investor being more relevant to state and local governments. </w:t>
      </w:r>
    </w:p>
    <w:p w14:paraId="34F00B60" w14:textId="77777777" w:rsidR="009D518A" w:rsidRDefault="009D518A" w:rsidP="009D518A">
      <w:pPr>
        <w:spacing w:after="0" w:line="240" w:lineRule="auto"/>
        <w:jc w:val="both"/>
        <w:rPr>
          <w:rFonts w:ascii="Calibri" w:eastAsia="Calibri" w:hAnsi="Calibri" w:cs="Calibri"/>
          <w:color w:val="000000"/>
        </w:rPr>
      </w:pPr>
    </w:p>
    <w:p w14:paraId="77F1205D" w14:textId="77777777" w:rsidR="007A7CBB" w:rsidRDefault="007A7CBB" w:rsidP="009D518A">
      <w:pPr>
        <w:spacing w:after="0" w:line="240" w:lineRule="auto"/>
        <w:jc w:val="both"/>
        <w:rPr>
          <w:rFonts w:ascii="Calibri" w:eastAsia="Calibri" w:hAnsi="Calibri" w:cs="Calibri"/>
          <w:color w:val="000000"/>
        </w:rPr>
      </w:pPr>
      <w:r w:rsidRPr="00F63CEE">
        <w:rPr>
          <w:rFonts w:ascii="Calibri" w:eastAsia="Calibri" w:hAnsi="Calibri" w:cs="Calibri"/>
          <w:b/>
          <w:color w:val="000000"/>
        </w:rPr>
        <w:t>Stated Final Maturity:</w:t>
      </w:r>
      <w:r>
        <w:rPr>
          <w:rFonts w:ascii="Calibri" w:eastAsia="Calibri" w:hAnsi="Calibri" w:cs="Calibri"/>
          <w:color w:val="000000"/>
        </w:rPr>
        <w:t xml:space="preserve"> </w:t>
      </w:r>
      <w:r w:rsidR="00F63CEE">
        <w:rPr>
          <w:rFonts w:ascii="Calibri" w:eastAsia="Calibri" w:hAnsi="Calibri" w:cs="Calibri"/>
          <w:color w:val="000000"/>
        </w:rPr>
        <w:t xml:space="preserve"> The</w:t>
      </w:r>
      <w:r w:rsidR="00F63CEE" w:rsidRPr="00F63CEE">
        <w:rPr>
          <w:rFonts w:ascii="Calibri" w:eastAsia="Calibri" w:hAnsi="Calibri" w:cs="Calibri"/>
          <w:color w:val="000000"/>
        </w:rPr>
        <w:t xml:space="preserve"> date when the </w:t>
      </w:r>
      <w:r w:rsidR="00F63CEE">
        <w:rPr>
          <w:rFonts w:ascii="Calibri" w:eastAsia="Calibri" w:hAnsi="Calibri" w:cs="Calibri"/>
          <w:color w:val="000000"/>
        </w:rPr>
        <w:t xml:space="preserve">final </w:t>
      </w:r>
      <w:r w:rsidR="00F63CEE" w:rsidRPr="00F63CEE">
        <w:rPr>
          <w:rFonts w:ascii="Calibri" w:eastAsia="Calibri" w:hAnsi="Calibri" w:cs="Calibri"/>
          <w:color w:val="000000"/>
        </w:rPr>
        <w:t>principal amount of a note, draft</w:t>
      </w:r>
      <w:r w:rsidR="00F63CEE">
        <w:rPr>
          <w:rFonts w:ascii="Calibri" w:eastAsia="Calibri" w:hAnsi="Calibri" w:cs="Calibri"/>
          <w:color w:val="000000"/>
        </w:rPr>
        <w:t>,</w:t>
      </w:r>
      <w:r w:rsidR="00F63CEE" w:rsidRPr="00F63CEE">
        <w:rPr>
          <w:rFonts w:ascii="Calibri" w:eastAsia="Calibri" w:hAnsi="Calibri" w:cs="Calibri"/>
          <w:color w:val="000000"/>
        </w:rPr>
        <w:t xml:space="preserve"> or other debt instrument becomes due and is repaid to the investor.</w:t>
      </w:r>
    </w:p>
    <w:p w14:paraId="78737C5A" w14:textId="77777777" w:rsidR="007A7CBB" w:rsidRPr="009D518A" w:rsidRDefault="007A7CBB" w:rsidP="009D518A">
      <w:pPr>
        <w:spacing w:after="0" w:line="240" w:lineRule="auto"/>
        <w:jc w:val="both"/>
        <w:rPr>
          <w:rFonts w:ascii="Calibri" w:eastAsia="Calibri" w:hAnsi="Calibri" w:cs="Calibri"/>
          <w:color w:val="000000"/>
        </w:rPr>
      </w:pPr>
    </w:p>
    <w:p w14:paraId="0176908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Straight Line Amortization:</w:t>
      </w:r>
      <w:r w:rsidRPr="009D518A">
        <w:rPr>
          <w:rFonts w:ascii="Calibri" w:eastAsia="Calibri" w:hAnsi="Calibri" w:cs="Calibri"/>
          <w:color w:val="000000"/>
        </w:rPr>
        <w:t xml:space="preserve">  A common method of calculating accretion or amortization of a discount or premium security to par or 100 from the purchase date to the maturity date.  It is calculated by dividing the discount/premium amount by the number of days to maturity, without regard to a security’s day count convention.</w:t>
      </w:r>
    </w:p>
    <w:p w14:paraId="3C93E41C" w14:textId="77777777" w:rsidR="009D518A" w:rsidRPr="009D518A" w:rsidRDefault="009D518A" w:rsidP="009D518A">
      <w:pPr>
        <w:spacing w:after="0" w:line="240" w:lineRule="auto"/>
        <w:jc w:val="both"/>
        <w:rPr>
          <w:rFonts w:ascii="Calibri" w:eastAsia="Calibri" w:hAnsi="Calibri" w:cs="Calibri"/>
          <w:color w:val="000000"/>
        </w:rPr>
      </w:pPr>
    </w:p>
    <w:p w14:paraId="10A2E82F"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Structured Notes:</w:t>
      </w:r>
      <w:r w:rsidRPr="009D518A">
        <w:rPr>
          <w:rFonts w:ascii="Calibri" w:eastAsia="Calibri" w:hAnsi="Calibri" w:cs="Calibri"/>
          <w:color w:val="000000"/>
        </w:rPr>
        <w:t xml:space="preserve">  Notes issued by Government Sponsored Enterprises (FHLB, FNMA, etc.) and corporations, which have imbedded options (e.g., call features, step-up coupons, floating rate coupons, derivative-based returns) into their debt structure.  Their market performance is impacted by the fluctuation of interest rates, the volatility of the imbedded options and shifts in the shape of the yield curve.</w:t>
      </w:r>
    </w:p>
    <w:p w14:paraId="54B20221" w14:textId="77777777" w:rsidR="009D518A" w:rsidRPr="009D518A" w:rsidRDefault="009D518A" w:rsidP="009D518A">
      <w:pPr>
        <w:spacing w:after="0" w:line="240" w:lineRule="auto"/>
        <w:jc w:val="both"/>
        <w:rPr>
          <w:rFonts w:ascii="Calibri" w:eastAsia="Calibri" w:hAnsi="Calibri" w:cs="Calibri"/>
          <w:color w:val="000000"/>
        </w:rPr>
      </w:pPr>
    </w:p>
    <w:p w14:paraId="4C08888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Structured Overnight Financing Rate (SOFR):</w:t>
      </w:r>
      <w:r w:rsidRPr="009D518A">
        <w:rPr>
          <w:rFonts w:ascii="Calibri" w:eastAsia="Calibri" w:hAnsi="Calibri" w:cs="Calibri"/>
          <w:color w:val="000000"/>
        </w:rPr>
        <w:t xml:space="preserve">  SOFR is a broad measure of the cost of borrowing cash overnight collateralized by Treasury securities. The SOFR includes all trades in the Broad General Collateral Rate plus bilateral Treasury repurchase agreement (repo) transactions cleared through the Delivery-versus-Payment (DVP) service offered by the Fixed Income Clearing Corporation (FICC), which is filtered to remove a portion of transactions considered “specials”.</w:t>
      </w:r>
    </w:p>
    <w:p w14:paraId="7E6A6307"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color w:val="000000"/>
        </w:rPr>
        <w:t>The SOFR is calculated as a volume-weighted median of transaction-level tri-party repo data collected from the Bank of New York Mellon as well as GCF Repo transaction data and data on bilateral Treasury repo transactions cleared through FICC's DVP service, which are obtained from DTCC Solutions LLC, an affiliate of the Depository Trust &amp; Clearing Corporation. Each business day, the New York Fed publishes the SOFR on the New York Fed website at approximately 8:00 a.m.</w:t>
      </w:r>
    </w:p>
    <w:p w14:paraId="52660864" w14:textId="77777777" w:rsidR="009D518A" w:rsidRPr="009D518A" w:rsidRDefault="009D518A" w:rsidP="009D518A">
      <w:pPr>
        <w:spacing w:after="0" w:line="240" w:lineRule="auto"/>
        <w:jc w:val="both"/>
        <w:rPr>
          <w:rFonts w:ascii="Calibri" w:eastAsia="Calibri" w:hAnsi="Calibri" w:cs="Calibri"/>
          <w:color w:val="000000"/>
        </w:rPr>
      </w:pPr>
    </w:p>
    <w:p w14:paraId="2F5CC01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Supranational:</w:t>
      </w:r>
      <w:r w:rsidRPr="009D518A">
        <w:rPr>
          <w:rFonts w:ascii="Calibri" w:eastAsia="Calibri" w:hAnsi="Calibri" w:cs="Calibri"/>
          <w:color w:val="000000"/>
        </w:rPr>
        <w:t xml:space="preserve">  A supranational entity is formed by two or more central governments with the purpose of promoting economic development for the member countries. Supranational institutions finance their activities by issuing debt, such as supranational bonds.  The three U.S. based supranationals are </w:t>
      </w:r>
      <w:r w:rsidRPr="009D518A">
        <w:rPr>
          <w:rFonts w:ascii="Calibri" w:eastAsia="Calibri" w:hAnsi="Calibri" w:cs="Calibri"/>
          <w:color w:val="000000"/>
        </w:rPr>
        <w:lastRenderedPageBreak/>
        <w:t>International Bank for Reconstruction and Development, the International Finance Corporation, and the Inter-American Development Bank.</w:t>
      </w:r>
    </w:p>
    <w:p w14:paraId="144305EF" w14:textId="0F142130" w:rsidR="009D518A" w:rsidRDefault="009D518A" w:rsidP="009D518A">
      <w:pPr>
        <w:spacing w:after="0" w:line="240" w:lineRule="auto"/>
        <w:jc w:val="both"/>
        <w:rPr>
          <w:rFonts w:ascii="Calibri" w:eastAsia="Calibri" w:hAnsi="Calibri" w:cs="Calibri"/>
          <w:color w:val="000000"/>
        </w:rPr>
      </w:pPr>
    </w:p>
    <w:p w14:paraId="1249E7C3" w14:textId="4023D764" w:rsidR="00C908EF" w:rsidRDefault="00182DCD" w:rsidP="009D518A">
      <w:pPr>
        <w:spacing w:after="0" w:line="240" w:lineRule="auto"/>
        <w:jc w:val="both"/>
        <w:rPr>
          <w:rFonts w:ascii="Calibri" w:eastAsia="Calibri" w:hAnsi="Calibri" w:cs="Calibri"/>
          <w:color w:val="000000"/>
        </w:rPr>
      </w:pPr>
      <w:r>
        <w:rPr>
          <w:rFonts w:ascii="Calibri" w:eastAsia="Calibri" w:hAnsi="Calibri" w:cs="Calibri"/>
          <w:b/>
          <w:color w:val="000000"/>
        </w:rPr>
        <w:t>Tennessee Valley Authority (TVA):</w:t>
      </w:r>
      <w:r w:rsidR="00C908EF" w:rsidRPr="00C908EF">
        <w:rPr>
          <w:rFonts w:ascii="Calibri" w:eastAsia="Calibri" w:hAnsi="Calibri" w:cs="Calibri"/>
          <w:color w:val="000000"/>
        </w:rPr>
        <w:t xml:space="preserve"> The TVA is a corporate agency of the United States that provides electricity for business customers and local power companies serving 10 million people in parts of seven southeastern states.</w:t>
      </w:r>
    </w:p>
    <w:p w14:paraId="76AAF312" w14:textId="77777777" w:rsidR="00C908EF" w:rsidRPr="009D518A" w:rsidRDefault="00C908EF" w:rsidP="009D518A">
      <w:pPr>
        <w:spacing w:after="0" w:line="240" w:lineRule="auto"/>
        <w:jc w:val="both"/>
        <w:rPr>
          <w:rFonts w:ascii="Calibri" w:eastAsia="Calibri" w:hAnsi="Calibri" w:cs="Calibri"/>
          <w:color w:val="000000"/>
        </w:rPr>
      </w:pPr>
    </w:p>
    <w:p w14:paraId="6A475CC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Total Return: </w:t>
      </w:r>
      <w:r w:rsidRPr="009D518A">
        <w:rPr>
          <w:rFonts w:ascii="Calibri" w:eastAsia="Calibri" w:hAnsi="Calibri" w:cs="Calibri"/>
          <w:color w:val="000000"/>
        </w:rPr>
        <w:t xml:space="preserve">The sum of all investment income plus realized and unrealized gain and losses. </w:t>
      </w:r>
    </w:p>
    <w:p w14:paraId="4EBFAFB6" w14:textId="77777777" w:rsidR="009D518A" w:rsidRPr="009D518A" w:rsidRDefault="009D518A" w:rsidP="009D518A">
      <w:pPr>
        <w:spacing w:after="0" w:line="240" w:lineRule="auto"/>
        <w:jc w:val="both"/>
        <w:rPr>
          <w:rFonts w:ascii="Calibri" w:eastAsia="Calibri" w:hAnsi="Calibri" w:cs="Calibri"/>
          <w:color w:val="000000"/>
        </w:rPr>
      </w:pPr>
    </w:p>
    <w:p w14:paraId="2AC4BC6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Trade Reporting and Compliance Engine (TRACE):</w:t>
      </w:r>
      <w:r w:rsidRPr="009D518A">
        <w:rPr>
          <w:rFonts w:ascii="Calibri" w:eastAsia="Calibri" w:hAnsi="Calibri" w:cs="Calibri"/>
          <w:color w:val="000000"/>
        </w:rPr>
        <w:t xml:space="preserve">  TRACE is the FINRA-developed vehicle that facilitates the mandatory reporting of over-the-counter secondary market transactions in eligible fixed income securities.  All broker-dealers who are FINRA member firms have an obligation to report transactions in corporate bonds to TRACE under an SEC-approved set of rules.</w:t>
      </w:r>
    </w:p>
    <w:p w14:paraId="587C6261" w14:textId="77777777" w:rsidR="009D518A" w:rsidRPr="009D518A" w:rsidRDefault="009D518A" w:rsidP="009D518A">
      <w:pPr>
        <w:spacing w:after="0" w:line="240" w:lineRule="auto"/>
        <w:jc w:val="both"/>
        <w:rPr>
          <w:rFonts w:ascii="Calibri" w:eastAsia="Calibri" w:hAnsi="Calibri" w:cs="Calibri"/>
          <w:color w:val="000000"/>
        </w:rPr>
      </w:pPr>
    </w:p>
    <w:p w14:paraId="36D70E7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Treasury Bills: </w:t>
      </w:r>
      <w:r w:rsidRPr="009D518A">
        <w:rPr>
          <w:rFonts w:ascii="Calibri" w:eastAsia="Calibri" w:hAnsi="Calibri" w:cs="Calibri"/>
          <w:color w:val="000000"/>
        </w:rPr>
        <w:t>Short</w:t>
      </w:r>
      <w:r w:rsidRPr="009D518A">
        <w:rPr>
          <w:rFonts w:ascii="Calibri" w:eastAsia="Calibri" w:hAnsi="Calibri" w:cs="Calibri"/>
          <w:color w:val="000000"/>
        </w:rPr>
        <w:noBreakHyphen/>
        <w:t>term U.S. government non</w:t>
      </w:r>
      <w:r w:rsidRPr="009D518A">
        <w:rPr>
          <w:rFonts w:ascii="Calibri" w:eastAsia="Calibri" w:hAnsi="Calibri" w:cs="Calibri"/>
          <w:color w:val="000000"/>
        </w:rPr>
        <w:noBreakHyphen/>
        <w:t>interest bearing debt securities with maturities of no longer than one year and issued in minimum denominations of $10,000.  Auctions of three</w:t>
      </w:r>
      <w:r w:rsidRPr="009D518A">
        <w:rPr>
          <w:rFonts w:ascii="Calibri" w:eastAsia="Calibri" w:hAnsi="Calibri" w:cs="Calibri"/>
          <w:color w:val="000000"/>
        </w:rPr>
        <w:noBreakHyphen/>
        <w:t xml:space="preserve"> and six</w:t>
      </w:r>
      <w:r w:rsidRPr="009D518A">
        <w:rPr>
          <w:rFonts w:ascii="Calibri" w:eastAsia="Calibri" w:hAnsi="Calibri" w:cs="Calibri"/>
          <w:color w:val="000000"/>
        </w:rPr>
        <w:noBreakHyphen/>
        <w:t>month bills are weekly, while auctions of one</w:t>
      </w:r>
      <w:r w:rsidRPr="009D518A">
        <w:rPr>
          <w:rFonts w:ascii="Calibri" w:eastAsia="Calibri" w:hAnsi="Calibri" w:cs="Calibri"/>
          <w:color w:val="000000"/>
        </w:rPr>
        <w:noBreakHyphen/>
        <w:t>year bills are monthly. The yields on these bills are monitored closely in the money markets for signs of interest rate trends.</w:t>
      </w:r>
    </w:p>
    <w:p w14:paraId="73529BEE" w14:textId="77777777" w:rsidR="009D518A" w:rsidRPr="009D518A" w:rsidRDefault="009D518A" w:rsidP="009D518A">
      <w:pPr>
        <w:spacing w:after="0" w:line="240" w:lineRule="auto"/>
        <w:jc w:val="both"/>
        <w:rPr>
          <w:rFonts w:ascii="Calibri" w:eastAsia="Calibri" w:hAnsi="Calibri" w:cs="Calibri"/>
          <w:color w:val="000000"/>
        </w:rPr>
      </w:pPr>
    </w:p>
    <w:p w14:paraId="4334FC3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Treasury Notes</w:t>
      </w:r>
      <w:r w:rsidRPr="009D518A">
        <w:rPr>
          <w:rFonts w:ascii="Calibri" w:eastAsia="Calibri" w:hAnsi="Calibri" w:cs="Calibri"/>
          <w:color w:val="000000"/>
        </w:rPr>
        <w:t>: Intermediate U.S. government debt securities with maturities of one to 10 years and issued in denominations ranging from $1,000 to $1 million or more.</w:t>
      </w:r>
    </w:p>
    <w:p w14:paraId="62BC7C1B" w14:textId="77777777" w:rsidR="009D518A" w:rsidRPr="009D518A" w:rsidRDefault="009D518A" w:rsidP="009D518A">
      <w:pPr>
        <w:spacing w:after="0" w:line="240" w:lineRule="auto"/>
        <w:jc w:val="both"/>
        <w:rPr>
          <w:rFonts w:ascii="Calibri" w:eastAsia="Calibri" w:hAnsi="Calibri" w:cs="Calibri"/>
          <w:color w:val="000000"/>
        </w:rPr>
      </w:pPr>
    </w:p>
    <w:p w14:paraId="73F2058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Treasury Bonds</w:t>
      </w:r>
      <w:r w:rsidRPr="009D518A">
        <w:rPr>
          <w:rFonts w:ascii="Calibri" w:eastAsia="Calibri" w:hAnsi="Calibri" w:cs="Calibri"/>
          <w:color w:val="000000"/>
        </w:rPr>
        <w:t>: Long</w:t>
      </w:r>
      <w:r w:rsidRPr="009D518A">
        <w:rPr>
          <w:rFonts w:ascii="Calibri" w:eastAsia="Calibri" w:hAnsi="Calibri" w:cs="Calibri"/>
          <w:color w:val="000000"/>
        </w:rPr>
        <w:noBreakHyphen/>
        <w:t>term U.S. government debt securities with maturities of ten years or longer and issued in minimum denominations of $1,000.  Currently, the longest outstanding maturity for such securities is 30 years.</w:t>
      </w:r>
    </w:p>
    <w:p w14:paraId="26C9FCB5" w14:textId="77777777" w:rsidR="009D518A" w:rsidRPr="009D518A" w:rsidRDefault="009D518A" w:rsidP="009D518A">
      <w:pPr>
        <w:spacing w:after="0" w:line="240" w:lineRule="auto"/>
        <w:jc w:val="both"/>
        <w:rPr>
          <w:rFonts w:ascii="Calibri" w:eastAsia="Calibri" w:hAnsi="Calibri" w:cs="Calibri"/>
          <w:color w:val="000000"/>
        </w:rPr>
      </w:pPr>
    </w:p>
    <w:p w14:paraId="2DF0735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Uniform Net Capital Rule</w:t>
      </w:r>
      <w:r w:rsidRPr="009D518A">
        <w:rPr>
          <w:rFonts w:ascii="Calibri" w:eastAsia="Calibri" w:hAnsi="Calibri" w:cs="Calibri"/>
          <w:color w:val="000000"/>
        </w:rPr>
        <w:t>: SEC Rule 15C3</w:t>
      </w:r>
      <w:r w:rsidRPr="009D518A">
        <w:rPr>
          <w:rFonts w:ascii="Calibri" w:eastAsia="Calibri" w:hAnsi="Calibri" w:cs="Calibri"/>
          <w:color w:val="000000"/>
        </w:rPr>
        <w:noBreakHyphen/>
        <w:t>1 outlining capital requirements for broker/dealers who must maintain a maximum ratio of indebtedness to liquid capital of 15 to 1.  Indebtedness covers all money owed to a firm, including margin loans, and commitments to purchase securities (one reason new issues are spread among members of underwriting syndicates).  Liquid capital includes cash and assets easily converted to cash.</w:t>
      </w:r>
    </w:p>
    <w:p w14:paraId="7C848971" w14:textId="77777777" w:rsidR="009D518A" w:rsidRPr="009D518A" w:rsidRDefault="009D518A" w:rsidP="009D518A">
      <w:pPr>
        <w:spacing w:after="0" w:line="240" w:lineRule="auto"/>
        <w:jc w:val="both"/>
        <w:rPr>
          <w:rFonts w:ascii="Calibri" w:eastAsia="Calibri" w:hAnsi="Calibri" w:cs="Calibri"/>
          <w:color w:val="000000"/>
        </w:rPr>
      </w:pPr>
    </w:p>
    <w:p w14:paraId="0399BBE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Volatility: </w:t>
      </w:r>
      <w:r w:rsidRPr="009D518A">
        <w:rPr>
          <w:rFonts w:ascii="Calibri" w:eastAsia="Calibri" w:hAnsi="Calibri" w:cs="Calibri"/>
          <w:color w:val="000000"/>
        </w:rPr>
        <w:t>A degree of fluctuation in the price and valuation of securities.</w:t>
      </w:r>
    </w:p>
    <w:p w14:paraId="3BCA262B" w14:textId="77777777" w:rsidR="009D518A" w:rsidRPr="009D518A" w:rsidRDefault="009D518A" w:rsidP="009D518A">
      <w:pPr>
        <w:spacing w:after="0" w:line="240" w:lineRule="auto"/>
        <w:jc w:val="both"/>
        <w:rPr>
          <w:rFonts w:ascii="Calibri" w:eastAsia="Calibri" w:hAnsi="Calibri" w:cs="Calibri"/>
          <w:b/>
          <w:bCs/>
          <w:color w:val="000000"/>
        </w:rPr>
      </w:pPr>
    </w:p>
    <w:p w14:paraId="552721A0"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Volatility Risk Rating:</w:t>
      </w:r>
      <w:r w:rsidRPr="009D518A">
        <w:rPr>
          <w:rFonts w:ascii="Calibri" w:eastAsia="Calibri" w:hAnsi="Calibri" w:cs="Calibri"/>
          <w:color w:val="000000"/>
        </w:rPr>
        <w:t xml:space="preserve">  A rating system to clearly indicate the level of volatility and other non</w:t>
      </w:r>
      <w:r w:rsidRPr="009D518A">
        <w:rPr>
          <w:rFonts w:ascii="Calibri" w:eastAsia="Calibri" w:hAnsi="Calibri" w:cs="Calibri"/>
          <w:color w:val="000000"/>
        </w:rPr>
        <w:noBreakHyphen/>
        <w:t>credit risks associated with securities and certain bond funds.  The ratings for bond funds range from those that have extremely low sensitivity to changing market conditions and offer the greatest stability of the returns to those that are highly sensitive with currently identifiable market volatility risk.</w:t>
      </w:r>
    </w:p>
    <w:p w14:paraId="5941E771" w14:textId="77777777" w:rsidR="009D518A" w:rsidRPr="009D518A" w:rsidRDefault="009D518A" w:rsidP="009D518A">
      <w:pPr>
        <w:spacing w:after="0" w:line="240" w:lineRule="auto"/>
        <w:jc w:val="both"/>
        <w:rPr>
          <w:rFonts w:ascii="Calibri" w:eastAsia="Calibri" w:hAnsi="Calibri" w:cs="Calibri"/>
          <w:b/>
          <w:bCs/>
          <w:color w:val="000000"/>
        </w:rPr>
      </w:pPr>
    </w:p>
    <w:p w14:paraId="5058BE9B" w14:textId="77777777" w:rsidR="009D518A" w:rsidRPr="009D518A" w:rsidRDefault="009D518A" w:rsidP="009D518A">
      <w:pPr>
        <w:spacing w:after="0" w:line="240" w:lineRule="auto"/>
        <w:jc w:val="both"/>
        <w:rPr>
          <w:rFonts w:ascii="Calibri" w:eastAsia="Calibri" w:hAnsi="Calibri" w:cs="Calibri"/>
          <w:b/>
          <w:bCs/>
          <w:color w:val="000000"/>
        </w:rPr>
      </w:pPr>
      <w:r w:rsidRPr="009D518A">
        <w:rPr>
          <w:rFonts w:ascii="Calibri" w:eastAsia="Calibri" w:hAnsi="Calibri" w:cs="Calibri"/>
          <w:b/>
          <w:color w:val="000000"/>
        </w:rPr>
        <w:t>Warrant:</w:t>
      </w:r>
      <w:r w:rsidRPr="009D518A">
        <w:rPr>
          <w:rFonts w:ascii="Calibri" w:eastAsia="Calibri" w:hAnsi="Calibri" w:cs="Calibri"/>
          <w:color w:val="000000"/>
        </w:rPr>
        <w:t xml:space="preserve">  In finance, a warrant is a security that entitles the holder to buy the underlying stock of the issuing company at a fixed price called exercise price until the expiry date. Warrants and options are similar in that the two contractual financial instruments allow the holder special rights to buy securities.  In accounting, a warrant sometimes similar to a check or an instrument to present for payment.</w:t>
      </w:r>
    </w:p>
    <w:p w14:paraId="77951101" w14:textId="77777777" w:rsidR="009D518A" w:rsidRPr="009D518A" w:rsidRDefault="009D518A" w:rsidP="009D518A">
      <w:pPr>
        <w:spacing w:after="0" w:line="240" w:lineRule="auto"/>
        <w:jc w:val="both"/>
        <w:rPr>
          <w:rFonts w:ascii="Calibri" w:eastAsia="Calibri" w:hAnsi="Calibri" w:cs="Calibri"/>
          <w:b/>
          <w:bCs/>
          <w:color w:val="000000"/>
        </w:rPr>
      </w:pPr>
    </w:p>
    <w:p w14:paraId="2CBA4541" w14:textId="77777777" w:rsidR="009D518A" w:rsidRPr="009D518A" w:rsidRDefault="009D518A" w:rsidP="009D518A">
      <w:pPr>
        <w:spacing w:after="0" w:line="240" w:lineRule="auto"/>
        <w:jc w:val="both"/>
        <w:rPr>
          <w:rFonts w:ascii="Calibri" w:eastAsia="Calibri" w:hAnsi="Calibri" w:cs="Calibri"/>
          <w:bCs/>
          <w:color w:val="000000"/>
        </w:rPr>
      </w:pPr>
      <w:r w:rsidRPr="009D518A">
        <w:rPr>
          <w:rFonts w:ascii="Calibri" w:eastAsia="Calibri" w:hAnsi="Calibri" w:cs="Calibri"/>
          <w:b/>
          <w:bCs/>
          <w:color w:val="000000"/>
        </w:rPr>
        <w:t xml:space="preserve">Weighted Average Life (WAL):  </w:t>
      </w:r>
      <w:r w:rsidRPr="009D518A">
        <w:rPr>
          <w:rFonts w:ascii="Calibri" w:eastAsia="Calibri" w:hAnsi="Calibri" w:cs="Calibri"/>
          <w:bCs/>
          <w:color w:val="000000"/>
        </w:rPr>
        <w:t xml:space="preserve">The average number of years that each dollar of unpaid principal due on loan, asset-backed security, or mortgage-backed security remains outstanding.  WAL delineates how many years it will take to pay half of the outstanding principal.  </w:t>
      </w:r>
    </w:p>
    <w:p w14:paraId="00FFAC0E" w14:textId="77777777" w:rsidR="009D518A" w:rsidRPr="009D518A" w:rsidRDefault="009D518A" w:rsidP="009D518A">
      <w:pPr>
        <w:spacing w:after="0" w:line="240" w:lineRule="auto"/>
        <w:jc w:val="both"/>
        <w:rPr>
          <w:rFonts w:ascii="Calibri" w:eastAsia="Calibri" w:hAnsi="Calibri" w:cs="Calibri"/>
          <w:b/>
          <w:bCs/>
          <w:color w:val="000000"/>
        </w:rPr>
      </w:pPr>
    </w:p>
    <w:p w14:paraId="6B78359A"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lastRenderedPageBreak/>
        <w:t>Weighted Average Maturity (WAM):</w:t>
      </w:r>
      <w:r w:rsidRPr="009D518A">
        <w:rPr>
          <w:rFonts w:ascii="Calibri" w:eastAsia="Calibri" w:hAnsi="Calibri" w:cs="Calibri"/>
          <w:color w:val="000000"/>
        </w:rPr>
        <w:t xml:space="preserve"> The average maturity of all the securities that comprise a portfolio, weighted by the individual securities. </w:t>
      </w:r>
    </w:p>
    <w:p w14:paraId="7DAD4EB4" w14:textId="77777777" w:rsidR="009D518A" w:rsidRPr="009D518A" w:rsidRDefault="009D518A" w:rsidP="009D518A">
      <w:pPr>
        <w:spacing w:after="0" w:line="240" w:lineRule="auto"/>
        <w:jc w:val="both"/>
        <w:rPr>
          <w:rFonts w:ascii="Calibri" w:eastAsia="Calibri" w:hAnsi="Calibri" w:cs="Calibri"/>
          <w:color w:val="000000"/>
        </w:rPr>
      </w:pPr>
    </w:p>
    <w:p w14:paraId="7CB13B36"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 xml:space="preserve">When Issued: </w:t>
      </w:r>
      <w:r w:rsidRPr="009D518A">
        <w:rPr>
          <w:rFonts w:ascii="Calibri" w:eastAsia="Calibri" w:hAnsi="Calibri" w:cs="Calibri"/>
          <w:color w:val="000000"/>
        </w:rPr>
        <w:t xml:space="preserve"> A transaction that is made conditionally because a security has been authorized but not yet issued.  Treasury securities, stock splits, and new issues of stocks and bonds are traded on a when-issued basis.</w:t>
      </w:r>
    </w:p>
    <w:p w14:paraId="36396F25" w14:textId="77777777" w:rsidR="009D518A" w:rsidRPr="009D518A" w:rsidRDefault="009D518A" w:rsidP="009D518A">
      <w:pPr>
        <w:spacing w:after="0" w:line="240" w:lineRule="auto"/>
        <w:jc w:val="both"/>
        <w:rPr>
          <w:rFonts w:ascii="Calibri" w:eastAsia="Calibri" w:hAnsi="Calibri" w:cs="Calibri"/>
          <w:color w:val="000000"/>
        </w:rPr>
      </w:pPr>
    </w:p>
    <w:p w14:paraId="5469A0E7"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World Bank:</w:t>
      </w:r>
      <w:r w:rsidRPr="009D518A">
        <w:rPr>
          <w:rFonts w:ascii="Calibri" w:eastAsia="Calibri" w:hAnsi="Calibri" w:cs="Calibri"/>
          <w:color w:val="000000"/>
        </w:rPr>
        <w:t xml:space="preserve">  The World Bank is an international financial institution that provides loans and grants to the governments of poorer countries for the purpose of pursuing capital projects. It comprises two institutions: the International Bank for Reconstruction and Development, and the International Development Association.</w:t>
      </w:r>
    </w:p>
    <w:p w14:paraId="734E9C2D" w14:textId="77777777" w:rsidR="009D518A" w:rsidRPr="009D518A" w:rsidRDefault="009D518A" w:rsidP="009D518A">
      <w:pPr>
        <w:spacing w:after="0" w:line="240" w:lineRule="auto"/>
        <w:jc w:val="both"/>
        <w:rPr>
          <w:rFonts w:ascii="Calibri" w:eastAsia="Calibri" w:hAnsi="Calibri" w:cs="Calibri"/>
          <w:color w:val="000000"/>
        </w:rPr>
      </w:pPr>
    </w:p>
    <w:p w14:paraId="29CA5785"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Yield:</w:t>
      </w:r>
      <w:r w:rsidRPr="009D518A">
        <w:rPr>
          <w:rFonts w:ascii="Calibri" w:eastAsia="Calibri" w:hAnsi="Calibri" w:cs="Calibri"/>
          <w:color w:val="000000"/>
        </w:rPr>
        <w:t xml:space="preserve"> The current rate of return on an investment security generally expressed as a percentage of the security's current price.</w:t>
      </w:r>
    </w:p>
    <w:p w14:paraId="528C55D1" w14:textId="77777777" w:rsidR="009D518A" w:rsidRPr="009D518A" w:rsidRDefault="009D518A" w:rsidP="009D518A">
      <w:pPr>
        <w:spacing w:after="0" w:line="240" w:lineRule="auto"/>
        <w:jc w:val="both"/>
        <w:rPr>
          <w:rFonts w:ascii="Calibri" w:eastAsia="Calibri" w:hAnsi="Calibri" w:cs="Calibri"/>
          <w:color w:val="000000"/>
        </w:rPr>
      </w:pPr>
    </w:p>
    <w:p w14:paraId="6CC51E38" w14:textId="3A0AECE6" w:rsid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Yield</w:t>
      </w:r>
      <w:r w:rsidRPr="009D518A">
        <w:rPr>
          <w:rFonts w:ascii="Calibri" w:eastAsia="Calibri" w:hAnsi="Calibri" w:cs="Calibri"/>
          <w:b/>
          <w:bCs/>
          <w:color w:val="000000"/>
        </w:rPr>
        <w:noBreakHyphen/>
        <w:t>to</w:t>
      </w:r>
      <w:r w:rsidRPr="009D518A">
        <w:rPr>
          <w:rFonts w:ascii="Calibri" w:eastAsia="Calibri" w:hAnsi="Calibri" w:cs="Calibri"/>
          <w:b/>
          <w:bCs/>
          <w:color w:val="000000"/>
        </w:rPr>
        <w:noBreakHyphen/>
        <w:t xml:space="preserve">Call (YTC): </w:t>
      </w:r>
      <w:r w:rsidRPr="009D518A">
        <w:rPr>
          <w:rFonts w:ascii="Calibri" w:eastAsia="Calibri" w:hAnsi="Calibri" w:cs="Calibri"/>
          <w:color w:val="000000"/>
        </w:rPr>
        <w:t xml:space="preserve">The rate of return an investor earns from a bond assuming the bond is redeemed (called) prior to its nominal maturity date. </w:t>
      </w:r>
    </w:p>
    <w:p w14:paraId="502EF7AA" w14:textId="77777777" w:rsidR="00182DCD" w:rsidRPr="009D518A" w:rsidRDefault="00182DCD" w:rsidP="009D518A">
      <w:pPr>
        <w:spacing w:after="0" w:line="240" w:lineRule="auto"/>
        <w:jc w:val="both"/>
        <w:rPr>
          <w:rFonts w:ascii="Calibri" w:eastAsia="Calibri" w:hAnsi="Calibri" w:cs="Calibri"/>
          <w:color w:val="000000"/>
        </w:rPr>
      </w:pPr>
    </w:p>
    <w:p w14:paraId="61254EBE"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 xml:space="preserve">Yield Curve: </w:t>
      </w:r>
      <w:r w:rsidRPr="009D518A">
        <w:rPr>
          <w:rFonts w:ascii="Calibri" w:eastAsia="Calibri" w:hAnsi="Calibri" w:cs="Calibri"/>
          <w:color w:val="000000"/>
        </w:rPr>
        <w:t xml:space="preserve"> A graphic representation that depicts the relationship at a given point in time between yields and maturity for bonds that are identical in every way except maturity.  A normal yield curve may be alternatively referred to as a positive yield curve.</w:t>
      </w:r>
    </w:p>
    <w:p w14:paraId="6F4AA75D" w14:textId="77777777" w:rsidR="009D518A" w:rsidRPr="009D518A" w:rsidRDefault="009D518A" w:rsidP="009D518A">
      <w:pPr>
        <w:spacing w:after="0" w:line="240" w:lineRule="auto"/>
        <w:jc w:val="both"/>
        <w:rPr>
          <w:rFonts w:ascii="Calibri" w:eastAsia="Calibri" w:hAnsi="Calibri" w:cs="Calibri"/>
          <w:color w:val="000000"/>
        </w:rPr>
      </w:pPr>
    </w:p>
    <w:p w14:paraId="1E037A8C"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Yield</w:t>
      </w:r>
      <w:r w:rsidRPr="009D518A">
        <w:rPr>
          <w:rFonts w:ascii="Calibri" w:eastAsia="Calibri" w:hAnsi="Calibri" w:cs="Calibri"/>
          <w:b/>
          <w:bCs/>
          <w:color w:val="000000"/>
        </w:rPr>
        <w:noBreakHyphen/>
        <w:t>to</w:t>
      </w:r>
      <w:r w:rsidRPr="009D518A">
        <w:rPr>
          <w:rFonts w:ascii="Calibri" w:eastAsia="Calibri" w:hAnsi="Calibri" w:cs="Calibri"/>
          <w:b/>
          <w:bCs/>
          <w:color w:val="000000"/>
        </w:rPr>
        <w:noBreakHyphen/>
        <w:t>Maturity (YTM):</w:t>
      </w:r>
      <w:r w:rsidRPr="009D518A">
        <w:rPr>
          <w:rFonts w:ascii="Calibri" w:eastAsia="Calibri" w:hAnsi="Calibri" w:cs="Calibri"/>
          <w:color w:val="000000"/>
        </w:rPr>
        <w:t xml:space="preserve">  The rate of return yielded by a debt security held to maturity when both interest payments and the investor's potential capital gain or loss are included in the calculation of return.</w:t>
      </w:r>
    </w:p>
    <w:p w14:paraId="068105BC" w14:textId="77777777" w:rsidR="009D518A" w:rsidRPr="009D518A" w:rsidRDefault="009D518A" w:rsidP="009D518A">
      <w:pPr>
        <w:spacing w:after="0" w:line="240" w:lineRule="auto"/>
        <w:jc w:val="both"/>
        <w:rPr>
          <w:rFonts w:ascii="Calibri" w:eastAsia="Calibri" w:hAnsi="Calibri" w:cs="Calibri"/>
          <w:color w:val="000000"/>
        </w:rPr>
      </w:pPr>
    </w:p>
    <w:p w14:paraId="1EC5AB9B" w14:textId="77777777" w:rsidR="009D518A" w:rsidRPr="009D518A"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color w:val="000000"/>
        </w:rPr>
        <w:t>Yield-to-Worst (YTW):</w:t>
      </w:r>
      <w:r w:rsidRPr="009D518A">
        <w:rPr>
          <w:rFonts w:ascii="Calibri" w:eastAsia="Calibri" w:hAnsi="Calibri" w:cs="Calibri"/>
          <w:color w:val="000000"/>
        </w:rPr>
        <w:t xml:space="preserve">  The YTW is the lowest potential yield that can be received on a bond without the issuer actually defaulting.  The YTW is calculated by making worst-case scenario assumptions on the issue by calculating the return that would be received if the issuer uses provisions, including prepayments or calls.</w:t>
      </w:r>
    </w:p>
    <w:p w14:paraId="20551687" w14:textId="77777777" w:rsidR="009D518A" w:rsidRPr="009D518A" w:rsidRDefault="009D518A" w:rsidP="009D518A">
      <w:pPr>
        <w:spacing w:after="0" w:line="240" w:lineRule="auto"/>
        <w:jc w:val="both"/>
        <w:rPr>
          <w:rFonts w:ascii="Calibri" w:eastAsia="Calibri" w:hAnsi="Calibri" w:cs="Calibri"/>
          <w:color w:val="000000"/>
        </w:rPr>
      </w:pPr>
    </w:p>
    <w:p w14:paraId="7B4DFBE0" w14:textId="77777777" w:rsidR="00921B1E" w:rsidRDefault="009D518A" w:rsidP="009D518A">
      <w:pPr>
        <w:spacing w:after="0" w:line="240" w:lineRule="auto"/>
        <w:jc w:val="both"/>
        <w:rPr>
          <w:rFonts w:ascii="Calibri" w:eastAsia="Calibri" w:hAnsi="Calibri" w:cs="Calibri"/>
          <w:color w:val="000000"/>
        </w:rPr>
      </w:pPr>
      <w:r w:rsidRPr="009D518A">
        <w:rPr>
          <w:rFonts w:ascii="Calibri" w:eastAsia="Calibri" w:hAnsi="Calibri" w:cs="Calibri"/>
          <w:b/>
          <w:bCs/>
          <w:color w:val="000000"/>
        </w:rPr>
        <w:t>Zero</w:t>
      </w:r>
      <w:r w:rsidRPr="009D518A">
        <w:rPr>
          <w:rFonts w:ascii="Calibri" w:eastAsia="Calibri" w:hAnsi="Calibri" w:cs="Calibri"/>
          <w:b/>
          <w:bCs/>
          <w:color w:val="000000"/>
        </w:rPr>
        <w:noBreakHyphen/>
        <w:t>Coupon Securities:</w:t>
      </w:r>
      <w:r w:rsidRPr="009D518A">
        <w:rPr>
          <w:rFonts w:ascii="Calibri" w:eastAsia="Calibri" w:hAnsi="Calibri" w:cs="Calibri"/>
          <w:color w:val="000000"/>
        </w:rPr>
        <w:t xml:space="preserve"> Security that is issued at a discount and makes no periodic interest payments.  The rate of return consists of a gradual accretion of the principal of the security and is payable at par upon maturity.</w:t>
      </w:r>
    </w:p>
    <w:p w14:paraId="79C4C179" w14:textId="77777777" w:rsidR="00921B1E" w:rsidRDefault="00921B1E">
      <w:pPr>
        <w:rPr>
          <w:rFonts w:ascii="Calibri" w:eastAsia="Calibri" w:hAnsi="Calibri" w:cs="Calibri"/>
          <w:color w:val="000000"/>
        </w:rPr>
      </w:pPr>
      <w:r>
        <w:rPr>
          <w:rFonts w:ascii="Calibri" w:eastAsia="Calibri" w:hAnsi="Calibri" w:cs="Calibri"/>
          <w:color w:val="000000"/>
        </w:rPr>
        <w:br w:type="page"/>
      </w:r>
    </w:p>
    <w:p w14:paraId="0C3F3DF7" w14:textId="77777777" w:rsidR="00961098" w:rsidRPr="00921B1E" w:rsidRDefault="00921B1E" w:rsidP="009D518A">
      <w:pPr>
        <w:spacing w:after="0" w:line="240" w:lineRule="auto"/>
        <w:jc w:val="both"/>
        <w:rPr>
          <w:rFonts w:cstheme="minorHAnsi"/>
          <w:b/>
          <w:color w:val="000000" w:themeColor="text1"/>
          <w:sz w:val="32"/>
        </w:rPr>
      </w:pPr>
      <w:r w:rsidRPr="00921B1E">
        <w:rPr>
          <w:rFonts w:cstheme="minorHAnsi"/>
          <w:b/>
          <w:color w:val="000000" w:themeColor="text1"/>
          <w:sz w:val="32"/>
        </w:rPr>
        <w:lastRenderedPageBreak/>
        <w:t>GIOA Investment Policy Scorecard</w:t>
      </w:r>
    </w:p>
    <w:p w14:paraId="7138DBB5" w14:textId="77777777" w:rsidR="00921B1E" w:rsidRPr="00D03473" w:rsidRDefault="00D03473" w:rsidP="009D518A">
      <w:pPr>
        <w:spacing w:after="0" w:line="240" w:lineRule="auto"/>
        <w:jc w:val="both"/>
        <w:rPr>
          <w:rFonts w:cstheme="minorHAnsi"/>
          <w:i/>
          <w:color w:val="000000" w:themeColor="text1"/>
          <w:sz w:val="20"/>
        </w:rPr>
      </w:pPr>
      <w:r w:rsidRPr="00D03473">
        <w:rPr>
          <w:rFonts w:cstheme="minorHAnsi"/>
          <w:i/>
          <w:color w:val="000000" w:themeColor="text1"/>
          <w:sz w:val="20"/>
        </w:rPr>
        <w:t>For i</w:t>
      </w:r>
      <w:r w:rsidR="00921B1E" w:rsidRPr="00D03473">
        <w:rPr>
          <w:rFonts w:cstheme="minorHAnsi"/>
          <w:i/>
          <w:color w:val="000000" w:themeColor="text1"/>
          <w:sz w:val="20"/>
        </w:rPr>
        <w:t>nternal use only</w:t>
      </w:r>
    </w:p>
    <w:p w14:paraId="2D51AAB0" w14:textId="77777777" w:rsidR="00921B1E" w:rsidRDefault="00921B1E" w:rsidP="009D518A">
      <w:pPr>
        <w:spacing w:after="0" w:line="240" w:lineRule="auto"/>
        <w:jc w:val="both"/>
        <w:rPr>
          <w:rFonts w:cstheme="minorHAnsi"/>
          <w:color w:val="000000" w:themeColor="text1"/>
          <w:sz w:val="20"/>
        </w:rPr>
      </w:pPr>
    </w:p>
    <w:tbl>
      <w:tblPr>
        <w:tblStyle w:val="TableGrid"/>
        <w:tblW w:w="0" w:type="auto"/>
        <w:tblLook w:val="04A0" w:firstRow="1" w:lastRow="0" w:firstColumn="1" w:lastColumn="0" w:noHBand="0" w:noVBand="1"/>
      </w:tblPr>
      <w:tblGrid>
        <w:gridCol w:w="4135"/>
        <w:gridCol w:w="539"/>
        <w:gridCol w:w="4141"/>
        <w:gridCol w:w="535"/>
      </w:tblGrid>
      <w:tr w:rsidR="00921B1E" w14:paraId="7D44F835" w14:textId="77777777" w:rsidTr="00921B1E">
        <w:tc>
          <w:tcPr>
            <w:tcW w:w="9350" w:type="dxa"/>
            <w:gridSpan w:val="4"/>
            <w:shd w:val="clear" w:color="auto" w:fill="D9D9D9" w:themeFill="background1" w:themeFillShade="D9"/>
          </w:tcPr>
          <w:p w14:paraId="310DE633" w14:textId="77777777" w:rsidR="00921B1E" w:rsidRPr="00921B1E" w:rsidRDefault="00921B1E" w:rsidP="009D518A">
            <w:pPr>
              <w:jc w:val="both"/>
              <w:rPr>
                <w:rFonts w:cstheme="minorHAnsi"/>
                <w:b/>
                <w:color w:val="000000" w:themeColor="text1"/>
              </w:rPr>
            </w:pPr>
            <w:r w:rsidRPr="00921B1E">
              <w:rPr>
                <w:rFonts w:cstheme="minorHAnsi"/>
                <w:b/>
                <w:color w:val="000000" w:themeColor="text1"/>
                <w:sz w:val="22"/>
              </w:rPr>
              <w:t>Name of Entity:</w:t>
            </w:r>
          </w:p>
        </w:tc>
      </w:tr>
      <w:tr w:rsidR="00921B1E" w14:paraId="5B51642A" w14:textId="77777777" w:rsidTr="00921B1E">
        <w:tc>
          <w:tcPr>
            <w:tcW w:w="9350" w:type="dxa"/>
            <w:gridSpan w:val="4"/>
            <w:tcBorders>
              <w:bottom w:val="single" w:sz="4" w:space="0" w:color="000000"/>
            </w:tcBorders>
          </w:tcPr>
          <w:p w14:paraId="59F3069C" w14:textId="77777777" w:rsidR="00921B1E" w:rsidRDefault="00921B1E" w:rsidP="009D518A">
            <w:pPr>
              <w:jc w:val="both"/>
              <w:rPr>
                <w:rFonts w:cstheme="minorHAnsi"/>
                <w:color w:val="000000" w:themeColor="text1"/>
              </w:rPr>
            </w:pPr>
          </w:p>
        </w:tc>
      </w:tr>
      <w:tr w:rsidR="00921B1E" w14:paraId="2FB15512" w14:textId="77777777" w:rsidTr="00921B1E">
        <w:tc>
          <w:tcPr>
            <w:tcW w:w="9350" w:type="dxa"/>
            <w:gridSpan w:val="4"/>
            <w:shd w:val="clear" w:color="auto" w:fill="D9D9D9" w:themeFill="background1" w:themeFillShade="D9"/>
          </w:tcPr>
          <w:p w14:paraId="5C7C82C3" w14:textId="253C91B9" w:rsidR="00921B1E" w:rsidRPr="00921B1E" w:rsidRDefault="00921B1E" w:rsidP="009D518A">
            <w:pPr>
              <w:jc w:val="both"/>
              <w:rPr>
                <w:rFonts w:cstheme="minorHAnsi"/>
                <w:b/>
                <w:color w:val="000000" w:themeColor="text1"/>
              </w:rPr>
            </w:pPr>
          </w:p>
        </w:tc>
      </w:tr>
      <w:tr w:rsidR="00921B1E" w14:paraId="08468B40" w14:textId="77777777" w:rsidTr="00921B1E">
        <w:tc>
          <w:tcPr>
            <w:tcW w:w="9350" w:type="dxa"/>
            <w:gridSpan w:val="4"/>
          </w:tcPr>
          <w:p w14:paraId="41197266" w14:textId="77777777" w:rsidR="00921B1E" w:rsidRDefault="00921B1E" w:rsidP="009D518A">
            <w:pPr>
              <w:jc w:val="both"/>
              <w:rPr>
                <w:rFonts w:cstheme="minorHAnsi"/>
                <w:color w:val="000000" w:themeColor="text1"/>
              </w:rPr>
            </w:pPr>
          </w:p>
        </w:tc>
      </w:tr>
      <w:tr w:rsidR="00921B1E" w14:paraId="0600D112" w14:textId="77777777" w:rsidTr="00524390">
        <w:tc>
          <w:tcPr>
            <w:tcW w:w="4135" w:type="dxa"/>
          </w:tcPr>
          <w:p w14:paraId="1558C1B6"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1:</w:t>
            </w:r>
            <w:r w:rsidR="00524390" w:rsidRPr="00524390">
              <w:rPr>
                <w:rFonts w:cstheme="minorHAnsi"/>
                <w:color w:val="000000" w:themeColor="text1"/>
                <w:sz w:val="18"/>
              </w:rPr>
              <w:t xml:space="preserve"> Table of Contents – Max </w:t>
            </w:r>
            <w:r w:rsidR="004D0AB9">
              <w:rPr>
                <w:rFonts w:cstheme="minorHAnsi"/>
                <w:color w:val="000000" w:themeColor="text1"/>
                <w:sz w:val="18"/>
              </w:rPr>
              <w:t>2</w:t>
            </w:r>
            <w:r w:rsidR="00524390" w:rsidRPr="00524390">
              <w:rPr>
                <w:rFonts w:cstheme="minorHAnsi"/>
                <w:color w:val="000000" w:themeColor="text1"/>
                <w:sz w:val="18"/>
              </w:rPr>
              <w:t xml:space="preserve"> Point</w:t>
            </w:r>
          </w:p>
        </w:tc>
        <w:tc>
          <w:tcPr>
            <w:tcW w:w="539" w:type="dxa"/>
          </w:tcPr>
          <w:p w14:paraId="090C2415" w14:textId="77777777" w:rsidR="00921B1E" w:rsidRPr="00524390" w:rsidRDefault="00921B1E" w:rsidP="009D518A">
            <w:pPr>
              <w:jc w:val="both"/>
              <w:rPr>
                <w:rFonts w:cstheme="minorHAnsi"/>
                <w:color w:val="000000" w:themeColor="text1"/>
                <w:sz w:val="18"/>
              </w:rPr>
            </w:pPr>
          </w:p>
        </w:tc>
        <w:tc>
          <w:tcPr>
            <w:tcW w:w="4141" w:type="dxa"/>
          </w:tcPr>
          <w:p w14:paraId="31D0FF9D"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18:</w:t>
            </w:r>
            <w:r w:rsidR="000F2579">
              <w:rPr>
                <w:rFonts w:cstheme="minorHAnsi"/>
                <w:color w:val="000000" w:themeColor="text1"/>
                <w:sz w:val="18"/>
              </w:rPr>
              <w:t xml:space="preserve"> Prohibited Investments – Max 2 Points</w:t>
            </w:r>
          </w:p>
        </w:tc>
        <w:tc>
          <w:tcPr>
            <w:tcW w:w="535" w:type="dxa"/>
          </w:tcPr>
          <w:p w14:paraId="39EAF68A" w14:textId="77777777" w:rsidR="00921B1E" w:rsidRPr="00524390" w:rsidRDefault="00921B1E" w:rsidP="009D518A">
            <w:pPr>
              <w:jc w:val="both"/>
              <w:rPr>
                <w:rFonts w:cstheme="minorHAnsi"/>
                <w:color w:val="000000" w:themeColor="text1"/>
                <w:sz w:val="18"/>
              </w:rPr>
            </w:pPr>
          </w:p>
        </w:tc>
      </w:tr>
      <w:tr w:rsidR="00921B1E" w14:paraId="35E1AD80" w14:textId="77777777" w:rsidTr="00524390">
        <w:tc>
          <w:tcPr>
            <w:tcW w:w="4135" w:type="dxa"/>
          </w:tcPr>
          <w:p w14:paraId="68615735"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2:</w:t>
            </w:r>
            <w:r w:rsidR="00524390">
              <w:rPr>
                <w:rFonts w:cstheme="minorHAnsi"/>
                <w:color w:val="000000" w:themeColor="text1"/>
                <w:sz w:val="18"/>
              </w:rPr>
              <w:t xml:space="preserve"> Introduction/Overview – Max 2 Points</w:t>
            </w:r>
          </w:p>
        </w:tc>
        <w:tc>
          <w:tcPr>
            <w:tcW w:w="539" w:type="dxa"/>
          </w:tcPr>
          <w:p w14:paraId="795B8AE1" w14:textId="77777777" w:rsidR="00921B1E" w:rsidRPr="00524390" w:rsidRDefault="00921B1E" w:rsidP="009D518A">
            <w:pPr>
              <w:jc w:val="both"/>
              <w:rPr>
                <w:rFonts w:cstheme="minorHAnsi"/>
                <w:color w:val="000000" w:themeColor="text1"/>
                <w:sz w:val="18"/>
              </w:rPr>
            </w:pPr>
          </w:p>
        </w:tc>
        <w:tc>
          <w:tcPr>
            <w:tcW w:w="4141" w:type="dxa"/>
          </w:tcPr>
          <w:p w14:paraId="47EBD8E4"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19:</w:t>
            </w:r>
            <w:r w:rsidR="000F2579">
              <w:rPr>
                <w:rFonts w:cstheme="minorHAnsi"/>
                <w:color w:val="000000" w:themeColor="text1"/>
                <w:sz w:val="18"/>
              </w:rPr>
              <w:t xml:space="preserve"> Diversification Parameters – Max </w:t>
            </w:r>
            <w:r w:rsidR="003611EC">
              <w:rPr>
                <w:rFonts w:cstheme="minorHAnsi"/>
                <w:color w:val="000000" w:themeColor="text1"/>
                <w:sz w:val="18"/>
              </w:rPr>
              <w:t>4</w:t>
            </w:r>
            <w:r w:rsidR="000F2579">
              <w:rPr>
                <w:rFonts w:cstheme="minorHAnsi"/>
                <w:color w:val="000000" w:themeColor="text1"/>
                <w:sz w:val="18"/>
              </w:rPr>
              <w:t xml:space="preserve"> Points</w:t>
            </w:r>
          </w:p>
        </w:tc>
        <w:tc>
          <w:tcPr>
            <w:tcW w:w="535" w:type="dxa"/>
          </w:tcPr>
          <w:p w14:paraId="3DEC861C" w14:textId="77777777" w:rsidR="00921B1E" w:rsidRPr="00524390" w:rsidRDefault="00921B1E" w:rsidP="009D518A">
            <w:pPr>
              <w:jc w:val="both"/>
              <w:rPr>
                <w:rFonts w:cstheme="minorHAnsi"/>
                <w:color w:val="000000" w:themeColor="text1"/>
                <w:sz w:val="18"/>
              </w:rPr>
            </w:pPr>
          </w:p>
        </w:tc>
      </w:tr>
      <w:tr w:rsidR="00921B1E" w14:paraId="7A43B867" w14:textId="77777777" w:rsidTr="00524390">
        <w:tc>
          <w:tcPr>
            <w:tcW w:w="4135" w:type="dxa"/>
          </w:tcPr>
          <w:p w14:paraId="2DC9CC5C"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3:</w:t>
            </w:r>
            <w:r w:rsidR="00524390">
              <w:rPr>
                <w:rFonts w:cstheme="minorHAnsi"/>
                <w:color w:val="000000" w:themeColor="text1"/>
                <w:sz w:val="18"/>
              </w:rPr>
              <w:t xml:space="preserve"> Governing Authority – Max 2 Points</w:t>
            </w:r>
          </w:p>
        </w:tc>
        <w:tc>
          <w:tcPr>
            <w:tcW w:w="539" w:type="dxa"/>
          </w:tcPr>
          <w:p w14:paraId="31B1BC7D" w14:textId="77777777" w:rsidR="00921B1E" w:rsidRPr="00524390" w:rsidRDefault="00921B1E" w:rsidP="009D518A">
            <w:pPr>
              <w:jc w:val="both"/>
              <w:rPr>
                <w:rFonts w:cstheme="minorHAnsi"/>
                <w:color w:val="000000" w:themeColor="text1"/>
                <w:sz w:val="18"/>
              </w:rPr>
            </w:pPr>
          </w:p>
        </w:tc>
        <w:tc>
          <w:tcPr>
            <w:tcW w:w="4141" w:type="dxa"/>
          </w:tcPr>
          <w:p w14:paraId="0A98E3CD"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20:</w:t>
            </w:r>
            <w:r w:rsidR="000F2579">
              <w:rPr>
                <w:rFonts w:cstheme="minorHAnsi"/>
                <w:color w:val="000000" w:themeColor="text1"/>
                <w:sz w:val="18"/>
              </w:rPr>
              <w:t xml:space="preserve"> Maturity Parameters – Max </w:t>
            </w:r>
            <w:r w:rsidR="003611EC">
              <w:rPr>
                <w:rFonts w:cstheme="minorHAnsi"/>
                <w:color w:val="000000" w:themeColor="text1"/>
                <w:sz w:val="18"/>
              </w:rPr>
              <w:t>4</w:t>
            </w:r>
            <w:r w:rsidR="000F2579">
              <w:rPr>
                <w:rFonts w:cstheme="minorHAnsi"/>
                <w:color w:val="000000" w:themeColor="text1"/>
                <w:sz w:val="18"/>
              </w:rPr>
              <w:t xml:space="preserve"> Points</w:t>
            </w:r>
          </w:p>
        </w:tc>
        <w:tc>
          <w:tcPr>
            <w:tcW w:w="535" w:type="dxa"/>
          </w:tcPr>
          <w:p w14:paraId="2667E187" w14:textId="77777777" w:rsidR="00921B1E" w:rsidRPr="00524390" w:rsidRDefault="00921B1E" w:rsidP="009D518A">
            <w:pPr>
              <w:jc w:val="both"/>
              <w:rPr>
                <w:rFonts w:cstheme="minorHAnsi"/>
                <w:color w:val="000000" w:themeColor="text1"/>
                <w:sz w:val="18"/>
              </w:rPr>
            </w:pPr>
          </w:p>
        </w:tc>
      </w:tr>
      <w:tr w:rsidR="00921B1E" w14:paraId="44B0BF30" w14:textId="77777777" w:rsidTr="00524390">
        <w:tc>
          <w:tcPr>
            <w:tcW w:w="4135" w:type="dxa"/>
          </w:tcPr>
          <w:p w14:paraId="130648BF" w14:textId="77777777" w:rsidR="00921B1E" w:rsidRPr="00524390" w:rsidRDefault="00921B1E" w:rsidP="00524390">
            <w:pPr>
              <w:jc w:val="both"/>
              <w:rPr>
                <w:rFonts w:cstheme="minorHAnsi"/>
                <w:color w:val="000000" w:themeColor="text1"/>
                <w:sz w:val="18"/>
              </w:rPr>
            </w:pPr>
            <w:r w:rsidRPr="00524390">
              <w:rPr>
                <w:rFonts w:cstheme="minorHAnsi"/>
                <w:color w:val="000000" w:themeColor="text1"/>
                <w:sz w:val="18"/>
              </w:rPr>
              <w:t>Section 4:</w:t>
            </w:r>
            <w:r w:rsidR="00524390">
              <w:rPr>
                <w:rFonts w:cstheme="minorHAnsi"/>
                <w:color w:val="000000" w:themeColor="text1"/>
                <w:sz w:val="18"/>
              </w:rPr>
              <w:t xml:space="preserve"> Delegation Authority – Max </w:t>
            </w:r>
            <w:r w:rsidR="003611EC">
              <w:rPr>
                <w:rFonts w:cstheme="minorHAnsi"/>
                <w:color w:val="000000" w:themeColor="text1"/>
                <w:sz w:val="18"/>
              </w:rPr>
              <w:t>3</w:t>
            </w:r>
            <w:r w:rsidR="00524390">
              <w:rPr>
                <w:rFonts w:cstheme="minorHAnsi"/>
                <w:color w:val="000000" w:themeColor="text1"/>
                <w:sz w:val="18"/>
              </w:rPr>
              <w:t xml:space="preserve"> Points</w:t>
            </w:r>
          </w:p>
        </w:tc>
        <w:tc>
          <w:tcPr>
            <w:tcW w:w="539" w:type="dxa"/>
          </w:tcPr>
          <w:p w14:paraId="73218EA4" w14:textId="77777777" w:rsidR="00921B1E" w:rsidRPr="00524390" w:rsidRDefault="00921B1E" w:rsidP="009D518A">
            <w:pPr>
              <w:jc w:val="both"/>
              <w:rPr>
                <w:rFonts w:cstheme="minorHAnsi"/>
                <w:color w:val="000000" w:themeColor="text1"/>
                <w:sz w:val="18"/>
              </w:rPr>
            </w:pPr>
          </w:p>
        </w:tc>
        <w:tc>
          <w:tcPr>
            <w:tcW w:w="4141" w:type="dxa"/>
          </w:tcPr>
          <w:p w14:paraId="696A1FD0"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21:</w:t>
            </w:r>
            <w:r w:rsidR="000F2579">
              <w:rPr>
                <w:rFonts w:cstheme="minorHAnsi"/>
                <w:color w:val="000000" w:themeColor="text1"/>
                <w:sz w:val="18"/>
              </w:rPr>
              <w:t xml:space="preserve"> Transaction Parameters – Max </w:t>
            </w:r>
            <w:r w:rsidR="003611EC">
              <w:rPr>
                <w:rFonts w:cstheme="minorHAnsi"/>
                <w:color w:val="000000" w:themeColor="text1"/>
                <w:sz w:val="18"/>
              </w:rPr>
              <w:t>2</w:t>
            </w:r>
            <w:r w:rsidR="000F2579">
              <w:rPr>
                <w:rFonts w:cstheme="minorHAnsi"/>
                <w:color w:val="000000" w:themeColor="text1"/>
                <w:sz w:val="18"/>
              </w:rPr>
              <w:t xml:space="preserve"> Points</w:t>
            </w:r>
          </w:p>
        </w:tc>
        <w:tc>
          <w:tcPr>
            <w:tcW w:w="535" w:type="dxa"/>
          </w:tcPr>
          <w:p w14:paraId="275360AE" w14:textId="77777777" w:rsidR="00921B1E" w:rsidRPr="00524390" w:rsidRDefault="00921B1E" w:rsidP="009D518A">
            <w:pPr>
              <w:jc w:val="both"/>
              <w:rPr>
                <w:rFonts w:cstheme="minorHAnsi"/>
                <w:color w:val="000000" w:themeColor="text1"/>
                <w:sz w:val="18"/>
              </w:rPr>
            </w:pPr>
          </w:p>
        </w:tc>
      </w:tr>
      <w:tr w:rsidR="00921B1E" w14:paraId="258EFC5A" w14:textId="77777777" w:rsidTr="00524390">
        <w:tc>
          <w:tcPr>
            <w:tcW w:w="4135" w:type="dxa"/>
          </w:tcPr>
          <w:p w14:paraId="4BA37552"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5:</w:t>
            </w:r>
            <w:r w:rsidR="00524390">
              <w:rPr>
                <w:rFonts w:cstheme="minorHAnsi"/>
                <w:color w:val="000000" w:themeColor="text1"/>
                <w:sz w:val="18"/>
              </w:rPr>
              <w:t xml:space="preserve"> Oversight Comt./Review – Max </w:t>
            </w:r>
            <w:r w:rsidR="003611EC">
              <w:rPr>
                <w:rFonts w:cstheme="minorHAnsi"/>
                <w:color w:val="000000" w:themeColor="text1"/>
                <w:sz w:val="18"/>
              </w:rPr>
              <w:t>4</w:t>
            </w:r>
            <w:r w:rsidR="00524390">
              <w:rPr>
                <w:rFonts w:cstheme="minorHAnsi"/>
                <w:color w:val="000000" w:themeColor="text1"/>
                <w:sz w:val="18"/>
              </w:rPr>
              <w:t xml:space="preserve"> Points</w:t>
            </w:r>
          </w:p>
        </w:tc>
        <w:tc>
          <w:tcPr>
            <w:tcW w:w="539" w:type="dxa"/>
          </w:tcPr>
          <w:p w14:paraId="58D89F4F" w14:textId="77777777" w:rsidR="00921B1E" w:rsidRPr="00524390" w:rsidRDefault="00921B1E" w:rsidP="009D518A">
            <w:pPr>
              <w:jc w:val="both"/>
              <w:rPr>
                <w:rFonts w:cstheme="minorHAnsi"/>
                <w:color w:val="000000" w:themeColor="text1"/>
                <w:sz w:val="18"/>
              </w:rPr>
            </w:pPr>
          </w:p>
        </w:tc>
        <w:tc>
          <w:tcPr>
            <w:tcW w:w="4141" w:type="dxa"/>
          </w:tcPr>
          <w:p w14:paraId="09646F59"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22:</w:t>
            </w:r>
            <w:r w:rsidR="000F2579">
              <w:rPr>
                <w:rFonts w:cstheme="minorHAnsi"/>
                <w:color w:val="000000" w:themeColor="text1"/>
                <w:sz w:val="18"/>
              </w:rPr>
              <w:t xml:space="preserve"> Calculation Parameters – Max 2 Points</w:t>
            </w:r>
          </w:p>
        </w:tc>
        <w:tc>
          <w:tcPr>
            <w:tcW w:w="535" w:type="dxa"/>
          </w:tcPr>
          <w:p w14:paraId="6D104E0B" w14:textId="77777777" w:rsidR="00921B1E" w:rsidRPr="00524390" w:rsidRDefault="00921B1E" w:rsidP="009D518A">
            <w:pPr>
              <w:jc w:val="both"/>
              <w:rPr>
                <w:rFonts w:cstheme="minorHAnsi"/>
                <w:color w:val="000000" w:themeColor="text1"/>
                <w:sz w:val="18"/>
              </w:rPr>
            </w:pPr>
          </w:p>
        </w:tc>
      </w:tr>
      <w:tr w:rsidR="00921B1E" w14:paraId="1908418E" w14:textId="77777777" w:rsidTr="00524390">
        <w:tc>
          <w:tcPr>
            <w:tcW w:w="4135" w:type="dxa"/>
          </w:tcPr>
          <w:p w14:paraId="7973C203"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 xml:space="preserve">Section 6: </w:t>
            </w:r>
            <w:r w:rsidR="00524390">
              <w:rPr>
                <w:rFonts w:cstheme="minorHAnsi"/>
                <w:color w:val="000000" w:themeColor="text1"/>
                <w:sz w:val="18"/>
              </w:rPr>
              <w:t xml:space="preserve">Policy Statement – Max </w:t>
            </w:r>
            <w:r w:rsidR="003611EC">
              <w:rPr>
                <w:rFonts w:cstheme="minorHAnsi"/>
                <w:color w:val="000000" w:themeColor="text1"/>
                <w:sz w:val="18"/>
              </w:rPr>
              <w:t>4</w:t>
            </w:r>
            <w:r w:rsidR="00524390">
              <w:rPr>
                <w:rFonts w:cstheme="minorHAnsi"/>
                <w:color w:val="000000" w:themeColor="text1"/>
                <w:sz w:val="18"/>
              </w:rPr>
              <w:t xml:space="preserve"> Points</w:t>
            </w:r>
          </w:p>
        </w:tc>
        <w:tc>
          <w:tcPr>
            <w:tcW w:w="539" w:type="dxa"/>
          </w:tcPr>
          <w:p w14:paraId="68E6EB91" w14:textId="77777777" w:rsidR="00921B1E" w:rsidRPr="00524390" w:rsidRDefault="00921B1E" w:rsidP="009D518A">
            <w:pPr>
              <w:jc w:val="both"/>
              <w:rPr>
                <w:rFonts w:cstheme="minorHAnsi"/>
                <w:color w:val="000000" w:themeColor="text1"/>
                <w:sz w:val="18"/>
              </w:rPr>
            </w:pPr>
          </w:p>
        </w:tc>
        <w:tc>
          <w:tcPr>
            <w:tcW w:w="4141" w:type="dxa"/>
          </w:tcPr>
          <w:p w14:paraId="7DE80AE4"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23:</w:t>
            </w:r>
            <w:r w:rsidR="000F2579">
              <w:rPr>
                <w:rFonts w:cstheme="minorHAnsi"/>
                <w:color w:val="000000" w:themeColor="text1"/>
                <w:sz w:val="18"/>
              </w:rPr>
              <w:t xml:space="preserve"> Authorized Institutions – Max </w:t>
            </w:r>
            <w:r w:rsidR="003611EC">
              <w:rPr>
                <w:rFonts w:cstheme="minorHAnsi"/>
                <w:color w:val="000000" w:themeColor="text1"/>
                <w:sz w:val="18"/>
              </w:rPr>
              <w:t>3</w:t>
            </w:r>
            <w:r w:rsidR="000F2579">
              <w:rPr>
                <w:rFonts w:cstheme="minorHAnsi"/>
                <w:color w:val="000000" w:themeColor="text1"/>
                <w:sz w:val="18"/>
              </w:rPr>
              <w:t xml:space="preserve"> Points</w:t>
            </w:r>
          </w:p>
        </w:tc>
        <w:tc>
          <w:tcPr>
            <w:tcW w:w="535" w:type="dxa"/>
          </w:tcPr>
          <w:p w14:paraId="49F6B846" w14:textId="77777777" w:rsidR="00921B1E" w:rsidRPr="00524390" w:rsidRDefault="00921B1E" w:rsidP="009D518A">
            <w:pPr>
              <w:jc w:val="both"/>
              <w:rPr>
                <w:rFonts w:cstheme="minorHAnsi"/>
                <w:color w:val="000000" w:themeColor="text1"/>
                <w:sz w:val="18"/>
              </w:rPr>
            </w:pPr>
          </w:p>
        </w:tc>
      </w:tr>
      <w:tr w:rsidR="00921B1E" w14:paraId="224A92F3" w14:textId="77777777" w:rsidTr="00524390">
        <w:tc>
          <w:tcPr>
            <w:tcW w:w="4135" w:type="dxa"/>
          </w:tcPr>
          <w:p w14:paraId="6CC79C2E"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7:</w:t>
            </w:r>
            <w:r w:rsidR="00524390">
              <w:rPr>
                <w:rFonts w:cstheme="minorHAnsi"/>
                <w:color w:val="000000" w:themeColor="text1"/>
                <w:sz w:val="18"/>
              </w:rPr>
              <w:t xml:space="preserve"> Scope – Max 2 Points</w:t>
            </w:r>
          </w:p>
        </w:tc>
        <w:tc>
          <w:tcPr>
            <w:tcW w:w="539" w:type="dxa"/>
          </w:tcPr>
          <w:p w14:paraId="40BF885F" w14:textId="77777777" w:rsidR="00921B1E" w:rsidRPr="00524390" w:rsidRDefault="00921B1E" w:rsidP="009D518A">
            <w:pPr>
              <w:jc w:val="both"/>
              <w:rPr>
                <w:rFonts w:cstheme="minorHAnsi"/>
                <w:color w:val="000000" w:themeColor="text1"/>
                <w:sz w:val="18"/>
              </w:rPr>
            </w:pPr>
          </w:p>
        </w:tc>
        <w:tc>
          <w:tcPr>
            <w:tcW w:w="4141" w:type="dxa"/>
          </w:tcPr>
          <w:p w14:paraId="0EDF8180"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24:</w:t>
            </w:r>
            <w:r w:rsidR="000F2579">
              <w:rPr>
                <w:rFonts w:cstheme="minorHAnsi"/>
                <w:color w:val="000000" w:themeColor="text1"/>
                <w:sz w:val="18"/>
              </w:rPr>
              <w:t xml:space="preserve"> Collateralization – Max </w:t>
            </w:r>
            <w:r w:rsidR="003611EC">
              <w:rPr>
                <w:rFonts w:cstheme="minorHAnsi"/>
                <w:color w:val="000000" w:themeColor="text1"/>
                <w:sz w:val="18"/>
              </w:rPr>
              <w:t>3</w:t>
            </w:r>
            <w:r w:rsidR="000F2579">
              <w:rPr>
                <w:rFonts w:cstheme="minorHAnsi"/>
                <w:color w:val="000000" w:themeColor="text1"/>
                <w:sz w:val="18"/>
              </w:rPr>
              <w:t xml:space="preserve"> Points</w:t>
            </w:r>
          </w:p>
        </w:tc>
        <w:tc>
          <w:tcPr>
            <w:tcW w:w="535" w:type="dxa"/>
          </w:tcPr>
          <w:p w14:paraId="2F77CEF0" w14:textId="77777777" w:rsidR="00921B1E" w:rsidRPr="00524390" w:rsidRDefault="00921B1E" w:rsidP="009D518A">
            <w:pPr>
              <w:jc w:val="both"/>
              <w:rPr>
                <w:rFonts w:cstheme="minorHAnsi"/>
                <w:color w:val="000000" w:themeColor="text1"/>
                <w:sz w:val="18"/>
              </w:rPr>
            </w:pPr>
          </w:p>
        </w:tc>
      </w:tr>
      <w:tr w:rsidR="00921B1E" w14:paraId="71D5AF8E" w14:textId="77777777" w:rsidTr="00524390">
        <w:tc>
          <w:tcPr>
            <w:tcW w:w="4135" w:type="dxa"/>
          </w:tcPr>
          <w:p w14:paraId="21F42BE0"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8:</w:t>
            </w:r>
            <w:r w:rsidR="00524390">
              <w:rPr>
                <w:rFonts w:cstheme="minorHAnsi"/>
                <w:color w:val="000000" w:themeColor="text1"/>
                <w:sz w:val="18"/>
              </w:rPr>
              <w:t xml:space="preserve"> Objectives – Max </w:t>
            </w:r>
            <w:r w:rsidR="003611EC">
              <w:rPr>
                <w:rFonts w:cstheme="minorHAnsi"/>
                <w:color w:val="000000" w:themeColor="text1"/>
                <w:sz w:val="18"/>
              </w:rPr>
              <w:t>5</w:t>
            </w:r>
            <w:r w:rsidR="00524390">
              <w:rPr>
                <w:rFonts w:cstheme="minorHAnsi"/>
                <w:color w:val="000000" w:themeColor="text1"/>
                <w:sz w:val="18"/>
              </w:rPr>
              <w:t xml:space="preserve"> Points</w:t>
            </w:r>
          </w:p>
        </w:tc>
        <w:tc>
          <w:tcPr>
            <w:tcW w:w="539" w:type="dxa"/>
          </w:tcPr>
          <w:p w14:paraId="2F4401AC" w14:textId="77777777" w:rsidR="00921B1E" w:rsidRPr="00524390" w:rsidRDefault="00921B1E" w:rsidP="009D518A">
            <w:pPr>
              <w:jc w:val="both"/>
              <w:rPr>
                <w:rFonts w:cstheme="minorHAnsi"/>
                <w:color w:val="000000" w:themeColor="text1"/>
                <w:sz w:val="18"/>
              </w:rPr>
            </w:pPr>
          </w:p>
        </w:tc>
        <w:tc>
          <w:tcPr>
            <w:tcW w:w="4141" w:type="dxa"/>
          </w:tcPr>
          <w:p w14:paraId="5F010065"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25:</w:t>
            </w:r>
            <w:r w:rsidR="000F2579">
              <w:rPr>
                <w:rFonts w:cstheme="minorHAnsi"/>
                <w:color w:val="000000" w:themeColor="text1"/>
                <w:sz w:val="18"/>
              </w:rPr>
              <w:t xml:space="preserve"> Investment Advisors (if needed)</w:t>
            </w:r>
          </w:p>
        </w:tc>
        <w:tc>
          <w:tcPr>
            <w:tcW w:w="535" w:type="dxa"/>
          </w:tcPr>
          <w:p w14:paraId="44790586" w14:textId="77777777" w:rsidR="00921B1E" w:rsidRPr="00524390" w:rsidRDefault="00921B1E" w:rsidP="009D518A">
            <w:pPr>
              <w:jc w:val="both"/>
              <w:rPr>
                <w:rFonts w:cstheme="minorHAnsi"/>
                <w:color w:val="000000" w:themeColor="text1"/>
                <w:sz w:val="18"/>
              </w:rPr>
            </w:pPr>
          </w:p>
        </w:tc>
      </w:tr>
      <w:tr w:rsidR="00921B1E" w14:paraId="70809443" w14:textId="77777777" w:rsidTr="00524390">
        <w:tc>
          <w:tcPr>
            <w:tcW w:w="4135" w:type="dxa"/>
          </w:tcPr>
          <w:p w14:paraId="2DBCDE89" w14:textId="77777777" w:rsidR="00921B1E" w:rsidRPr="00524390" w:rsidRDefault="00921B1E" w:rsidP="009D518A">
            <w:pPr>
              <w:jc w:val="both"/>
              <w:rPr>
                <w:rFonts w:cstheme="minorHAnsi"/>
                <w:color w:val="000000" w:themeColor="text1"/>
                <w:sz w:val="18"/>
              </w:rPr>
            </w:pPr>
            <w:r w:rsidRPr="00524390">
              <w:rPr>
                <w:rFonts w:cstheme="minorHAnsi"/>
                <w:color w:val="000000" w:themeColor="text1"/>
                <w:sz w:val="18"/>
              </w:rPr>
              <w:t>Section 9:</w:t>
            </w:r>
            <w:r w:rsidR="00524390">
              <w:rPr>
                <w:rFonts w:cstheme="minorHAnsi"/>
                <w:color w:val="000000" w:themeColor="text1"/>
                <w:sz w:val="18"/>
              </w:rPr>
              <w:t xml:space="preserve"> Philosophy – Max </w:t>
            </w:r>
            <w:r w:rsidR="003611EC">
              <w:rPr>
                <w:rFonts w:cstheme="minorHAnsi"/>
                <w:color w:val="000000" w:themeColor="text1"/>
                <w:sz w:val="18"/>
              </w:rPr>
              <w:t>4</w:t>
            </w:r>
            <w:r w:rsidR="00524390">
              <w:rPr>
                <w:rFonts w:cstheme="minorHAnsi"/>
                <w:color w:val="000000" w:themeColor="text1"/>
                <w:sz w:val="18"/>
              </w:rPr>
              <w:t xml:space="preserve"> Points</w:t>
            </w:r>
          </w:p>
        </w:tc>
        <w:tc>
          <w:tcPr>
            <w:tcW w:w="539" w:type="dxa"/>
          </w:tcPr>
          <w:p w14:paraId="41B202AA" w14:textId="77777777" w:rsidR="00921B1E" w:rsidRPr="00524390" w:rsidRDefault="00921B1E" w:rsidP="009D518A">
            <w:pPr>
              <w:jc w:val="both"/>
              <w:rPr>
                <w:rFonts w:cstheme="minorHAnsi"/>
                <w:color w:val="000000" w:themeColor="text1"/>
                <w:sz w:val="18"/>
              </w:rPr>
            </w:pPr>
          </w:p>
        </w:tc>
        <w:tc>
          <w:tcPr>
            <w:tcW w:w="4141" w:type="dxa"/>
          </w:tcPr>
          <w:p w14:paraId="651D05E1"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26:</w:t>
            </w:r>
            <w:r w:rsidR="000F2579">
              <w:rPr>
                <w:rFonts w:cstheme="minorHAnsi"/>
                <w:color w:val="000000" w:themeColor="text1"/>
                <w:sz w:val="18"/>
              </w:rPr>
              <w:t xml:space="preserve"> Authorized Broker/Dealers – Max </w:t>
            </w:r>
            <w:r w:rsidR="003611EC">
              <w:rPr>
                <w:rFonts w:cstheme="minorHAnsi"/>
                <w:color w:val="000000" w:themeColor="text1"/>
                <w:sz w:val="18"/>
              </w:rPr>
              <w:t>3</w:t>
            </w:r>
            <w:r w:rsidR="000F2579">
              <w:rPr>
                <w:rFonts w:cstheme="minorHAnsi"/>
                <w:color w:val="000000" w:themeColor="text1"/>
                <w:sz w:val="18"/>
              </w:rPr>
              <w:t xml:space="preserve"> Points</w:t>
            </w:r>
          </w:p>
        </w:tc>
        <w:tc>
          <w:tcPr>
            <w:tcW w:w="535" w:type="dxa"/>
          </w:tcPr>
          <w:p w14:paraId="25776594" w14:textId="77777777" w:rsidR="00921B1E" w:rsidRPr="00524390" w:rsidRDefault="00921B1E" w:rsidP="009D518A">
            <w:pPr>
              <w:jc w:val="both"/>
              <w:rPr>
                <w:rFonts w:cstheme="minorHAnsi"/>
                <w:color w:val="000000" w:themeColor="text1"/>
                <w:sz w:val="18"/>
              </w:rPr>
            </w:pPr>
          </w:p>
        </w:tc>
      </w:tr>
      <w:tr w:rsidR="00921B1E" w14:paraId="3A023F15" w14:textId="77777777" w:rsidTr="00524390">
        <w:tc>
          <w:tcPr>
            <w:tcW w:w="4135" w:type="dxa"/>
          </w:tcPr>
          <w:p w14:paraId="0FC4C2B5"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10:</w:t>
            </w:r>
            <w:r w:rsidR="00524390">
              <w:rPr>
                <w:rFonts w:cstheme="minorHAnsi"/>
                <w:color w:val="000000" w:themeColor="text1"/>
                <w:sz w:val="18"/>
              </w:rPr>
              <w:t xml:space="preserve"> Standard of Prudence – Max 2 Points</w:t>
            </w:r>
          </w:p>
        </w:tc>
        <w:tc>
          <w:tcPr>
            <w:tcW w:w="539" w:type="dxa"/>
          </w:tcPr>
          <w:p w14:paraId="0A6E50AE" w14:textId="77777777" w:rsidR="00921B1E" w:rsidRPr="00524390" w:rsidRDefault="00921B1E" w:rsidP="009D518A">
            <w:pPr>
              <w:jc w:val="both"/>
              <w:rPr>
                <w:rFonts w:cstheme="minorHAnsi"/>
                <w:color w:val="000000" w:themeColor="text1"/>
                <w:sz w:val="18"/>
              </w:rPr>
            </w:pPr>
          </w:p>
        </w:tc>
        <w:tc>
          <w:tcPr>
            <w:tcW w:w="4141" w:type="dxa"/>
          </w:tcPr>
          <w:p w14:paraId="4519DC28"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27:</w:t>
            </w:r>
            <w:r w:rsidR="000F2579">
              <w:rPr>
                <w:rFonts w:cstheme="minorHAnsi"/>
                <w:color w:val="000000" w:themeColor="text1"/>
                <w:sz w:val="18"/>
              </w:rPr>
              <w:t xml:space="preserve"> Inv Program Reporting – Max </w:t>
            </w:r>
            <w:r w:rsidR="003611EC">
              <w:rPr>
                <w:rFonts w:cstheme="minorHAnsi"/>
                <w:color w:val="000000" w:themeColor="text1"/>
                <w:sz w:val="18"/>
              </w:rPr>
              <w:t>5</w:t>
            </w:r>
            <w:r w:rsidR="000F2579">
              <w:rPr>
                <w:rFonts w:cstheme="minorHAnsi"/>
                <w:color w:val="000000" w:themeColor="text1"/>
                <w:sz w:val="18"/>
              </w:rPr>
              <w:t xml:space="preserve"> Points</w:t>
            </w:r>
          </w:p>
        </w:tc>
        <w:tc>
          <w:tcPr>
            <w:tcW w:w="535" w:type="dxa"/>
          </w:tcPr>
          <w:p w14:paraId="0C1FC62C" w14:textId="77777777" w:rsidR="00921B1E" w:rsidRPr="00524390" w:rsidRDefault="00921B1E" w:rsidP="009D518A">
            <w:pPr>
              <w:jc w:val="both"/>
              <w:rPr>
                <w:rFonts w:cstheme="minorHAnsi"/>
                <w:color w:val="000000" w:themeColor="text1"/>
                <w:sz w:val="18"/>
              </w:rPr>
            </w:pPr>
          </w:p>
        </w:tc>
      </w:tr>
      <w:tr w:rsidR="00921B1E" w14:paraId="7139B389" w14:textId="77777777" w:rsidTr="00524390">
        <w:tc>
          <w:tcPr>
            <w:tcW w:w="4135" w:type="dxa"/>
          </w:tcPr>
          <w:p w14:paraId="033ACBD8"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11:</w:t>
            </w:r>
            <w:r w:rsidR="00524390">
              <w:rPr>
                <w:rFonts w:cstheme="minorHAnsi"/>
                <w:color w:val="000000" w:themeColor="text1"/>
                <w:sz w:val="18"/>
              </w:rPr>
              <w:t xml:space="preserve"> Ethics/Conflicts of Interest – Max 2 Points</w:t>
            </w:r>
          </w:p>
        </w:tc>
        <w:tc>
          <w:tcPr>
            <w:tcW w:w="539" w:type="dxa"/>
          </w:tcPr>
          <w:p w14:paraId="01AACE53" w14:textId="77777777" w:rsidR="00921B1E" w:rsidRPr="00524390" w:rsidRDefault="00921B1E" w:rsidP="009D518A">
            <w:pPr>
              <w:jc w:val="both"/>
              <w:rPr>
                <w:rFonts w:cstheme="minorHAnsi"/>
                <w:color w:val="000000" w:themeColor="text1"/>
                <w:sz w:val="18"/>
              </w:rPr>
            </w:pPr>
          </w:p>
        </w:tc>
        <w:tc>
          <w:tcPr>
            <w:tcW w:w="4141" w:type="dxa"/>
          </w:tcPr>
          <w:p w14:paraId="10BA0A1E"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28:</w:t>
            </w:r>
            <w:r w:rsidR="000F2579">
              <w:rPr>
                <w:rFonts w:cstheme="minorHAnsi"/>
                <w:color w:val="000000" w:themeColor="text1"/>
                <w:sz w:val="18"/>
              </w:rPr>
              <w:t xml:space="preserve"> Allocation of Inv Income – Max 2 Points</w:t>
            </w:r>
          </w:p>
        </w:tc>
        <w:tc>
          <w:tcPr>
            <w:tcW w:w="535" w:type="dxa"/>
          </w:tcPr>
          <w:p w14:paraId="4C22E1B5" w14:textId="77777777" w:rsidR="00921B1E" w:rsidRPr="00524390" w:rsidRDefault="00921B1E" w:rsidP="009D518A">
            <w:pPr>
              <w:jc w:val="both"/>
              <w:rPr>
                <w:rFonts w:cstheme="minorHAnsi"/>
                <w:color w:val="000000" w:themeColor="text1"/>
                <w:sz w:val="18"/>
              </w:rPr>
            </w:pPr>
          </w:p>
        </w:tc>
      </w:tr>
      <w:tr w:rsidR="00921B1E" w14:paraId="3D48032F" w14:textId="77777777" w:rsidTr="00524390">
        <w:tc>
          <w:tcPr>
            <w:tcW w:w="4135" w:type="dxa"/>
          </w:tcPr>
          <w:p w14:paraId="4DA99424" w14:textId="77777777" w:rsidR="00921B1E" w:rsidRPr="00524390" w:rsidRDefault="002C7AB0" w:rsidP="009D518A">
            <w:pPr>
              <w:jc w:val="both"/>
              <w:rPr>
                <w:rFonts w:cstheme="minorHAnsi"/>
                <w:color w:val="000000" w:themeColor="text1"/>
                <w:sz w:val="18"/>
              </w:rPr>
            </w:pPr>
            <w:r w:rsidRPr="00524390">
              <w:rPr>
                <w:rFonts w:cstheme="minorHAnsi"/>
                <w:color w:val="000000" w:themeColor="text1"/>
                <w:sz w:val="18"/>
              </w:rPr>
              <w:t>Section 12:</w:t>
            </w:r>
            <w:r w:rsidR="00524390">
              <w:rPr>
                <w:rFonts w:cstheme="minorHAnsi"/>
                <w:color w:val="000000" w:themeColor="text1"/>
                <w:sz w:val="18"/>
              </w:rPr>
              <w:t xml:space="preserve"> Limit on Receipt of Gifts – Max 2 Points</w:t>
            </w:r>
          </w:p>
        </w:tc>
        <w:tc>
          <w:tcPr>
            <w:tcW w:w="539" w:type="dxa"/>
          </w:tcPr>
          <w:p w14:paraId="7DA50F34" w14:textId="77777777" w:rsidR="00921B1E" w:rsidRPr="00524390" w:rsidRDefault="00921B1E" w:rsidP="009D518A">
            <w:pPr>
              <w:jc w:val="both"/>
              <w:rPr>
                <w:rFonts w:cstheme="minorHAnsi"/>
                <w:color w:val="000000" w:themeColor="text1"/>
                <w:sz w:val="18"/>
              </w:rPr>
            </w:pPr>
          </w:p>
        </w:tc>
        <w:tc>
          <w:tcPr>
            <w:tcW w:w="4141" w:type="dxa"/>
          </w:tcPr>
          <w:p w14:paraId="40452DD5" w14:textId="77777777" w:rsidR="00921B1E" w:rsidRPr="00524390" w:rsidRDefault="002C7AB0" w:rsidP="003611EC">
            <w:pPr>
              <w:jc w:val="both"/>
              <w:rPr>
                <w:rFonts w:cstheme="minorHAnsi"/>
                <w:color w:val="000000" w:themeColor="text1"/>
                <w:sz w:val="18"/>
              </w:rPr>
            </w:pPr>
            <w:r w:rsidRPr="00524390">
              <w:rPr>
                <w:rFonts w:cstheme="minorHAnsi"/>
                <w:color w:val="000000" w:themeColor="text1"/>
                <w:sz w:val="18"/>
              </w:rPr>
              <w:t>Section 29:</w:t>
            </w:r>
            <w:r w:rsidR="000F2579">
              <w:rPr>
                <w:rFonts w:cstheme="minorHAnsi"/>
                <w:color w:val="000000" w:themeColor="text1"/>
                <w:sz w:val="18"/>
              </w:rPr>
              <w:t xml:space="preserve"> </w:t>
            </w:r>
            <w:r w:rsidR="00DA4DFA">
              <w:rPr>
                <w:rFonts w:cstheme="minorHAnsi"/>
                <w:color w:val="000000" w:themeColor="text1"/>
                <w:sz w:val="18"/>
              </w:rPr>
              <w:t xml:space="preserve">Performance Information – Max </w:t>
            </w:r>
            <w:r w:rsidR="003611EC">
              <w:rPr>
                <w:rFonts w:cstheme="minorHAnsi"/>
                <w:color w:val="000000" w:themeColor="text1"/>
                <w:sz w:val="18"/>
              </w:rPr>
              <w:t>5</w:t>
            </w:r>
            <w:r w:rsidR="00DA4DFA">
              <w:rPr>
                <w:rFonts w:cstheme="minorHAnsi"/>
                <w:color w:val="000000" w:themeColor="text1"/>
                <w:sz w:val="18"/>
              </w:rPr>
              <w:t xml:space="preserve"> Points</w:t>
            </w:r>
          </w:p>
        </w:tc>
        <w:tc>
          <w:tcPr>
            <w:tcW w:w="535" w:type="dxa"/>
          </w:tcPr>
          <w:p w14:paraId="38FC2C9B" w14:textId="77777777" w:rsidR="00921B1E" w:rsidRPr="00524390" w:rsidRDefault="00921B1E" w:rsidP="009D518A">
            <w:pPr>
              <w:jc w:val="both"/>
              <w:rPr>
                <w:rFonts w:cstheme="minorHAnsi"/>
                <w:color w:val="000000" w:themeColor="text1"/>
                <w:sz w:val="18"/>
              </w:rPr>
            </w:pPr>
          </w:p>
        </w:tc>
      </w:tr>
      <w:tr w:rsidR="002C7AB0" w14:paraId="37AA793E" w14:textId="77777777" w:rsidTr="00524390">
        <w:tc>
          <w:tcPr>
            <w:tcW w:w="4135" w:type="dxa"/>
          </w:tcPr>
          <w:p w14:paraId="0EAF09DA"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13:</w:t>
            </w:r>
            <w:r w:rsidR="00163418">
              <w:rPr>
                <w:rFonts w:cstheme="minorHAnsi"/>
                <w:color w:val="000000" w:themeColor="text1"/>
                <w:sz w:val="18"/>
              </w:rPr>
              <w:t xml:space="preserve"> Investment Procedures – Max 2 Points</w:t>
            </w:r>
          </w:p>
        </w:tc>
        <w:tc>
          <w:tcPr>
            <w:tcW w:w="539" w:type="dxa"/>
          </w:tcPr>
          <w:p w14:paraId="6C19B99F" w14:textId="77777777" w:rsidR="002C7AB0" w:rsidRPr="00524390" w:rsidRDefault="002C7AB0" w:rsidP="009D518A">
            <w:pPr>
              <w:jc w:val="both"/>
              <w:rPr>
                <w:rFonts w:cstheme="minorHAnsi"/>
                <w:color w:val="000000" w:themeColor="text1"/>
                <w:sz w:val="18"/>
              </w:rPr>
            </w:pPr>
          </w:p>
        </w:tc>
        <w:tc>
          <w:tcPr>
            <w:tcW w:w="4141" w:type="dxa"/>
          </w:tcPr>
          <w:p w14:paraId="31F30944"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30:</w:t>
            </w:r>
            <w:r w:rsidR="00DA4DFA">
              <w:rPr>
                <w:rFonts w:cstheme="minorHAnsi"/>
                <w:color w:val="000000" w:themeColor="text1"/>
                <w:sz w:val="18"/>
              </w:rPr>
              <w:t xml:space="preserve"> Business Continuity – Max 2 Points</w:t>
            </w:r>
          </w:p>
        </w:tc>
        <w:tc>
          <w:tcPr>
            <w:tcW w:w="535" w:type="dxa"/>
          </w:tcPr>
          <w:p w14:paraId="53B73CF6" w14:textId="77777777" w:rsidR="002C7AB0" w:rsidRPr="00524390" w:rsidRDefault="002C7AB0" w:rsidP="009D518A">
            <w:pPr>
              <w:jc w:val="both"/>
              <w:rPr>
                <w:rFonts w:cstheme="minorHAnsi"/>
                <w:color w:val="000000" w:themeColor="text1"/>
                <w:sz w:val="18"/>
              </w:rPr>
            </w:pPr>
          </w:p>
        </w:tc>
      </w:tr>
      <w:tr w:rsidR="002C7AB0" w14:paraId="24779684" w14:textId="77777777" w:rsidTr="00524390">
        <w:tc>
          <w:tcPr>
            <w:tcW w:w="4135" w:type="dxa"/>
          </w:tcPr>
          <w:p w14:paraId="21FA0B21"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14:</w:t>
            </w:r>
            <w:r w:rsidR="00163418">
              <w:rPr>
                <w:rFonts w:cstheme="minorHAnsi"/>
                <w:color w:val="000000" w:themeColor="text1"/>
                <w:sz w:val="18"/>
              </w:rPr>
              <w:t xml:space="preserve"> Internal Controls – Max </w:t>
            </w:r>
            <w:r w:rsidR="003611EC">
              <w:rPr>
                <w:rFonts w:cstheme="minorHAnsi"/>
                <w:color w:val="000000" w:themeColor="text1"/>
                <w:sz w:val="18"/>
              </w:rPr>
              <w:t>3</w:t>
            </w:r>
            <w:r w:rsidR="00163418">
              <w:rPr>
                <w:rFonts w:cstheme="minorHAnsi"/>
                <w:color w:val="000000" w:themeColor="text1"/>
                <w:sz w:val="18"/>
              </w:rPr>
              <w:t xml:space="preserve"> Points</w:t>
            </w:r>
          </w:p>
        </w:tc>
        <w:tc>
          <w:tcPr>
            <w:tcW w:w="539" w:type="dxa"/>
          </w:tcPr>
          <w:p w14:paraId="1089AF08" w14:textId="77777777" w:rsidR="002C7AB0" w:rsidRPr="00524390" w:rsidRDefault="002C7AB0" w:rsidP="009D518A">
            <w:pPr>
              <w:jc w:val="both"/>
              <w:rPr>
                <w:rFonts w:cstheme="minorHAnsi"/>
                <w:color w:val="000000" w:themeColor="text1"/>
                <w:sz w:val="18"/>
              </w:rPr>
            </w:pPr>
          </w:p>
        </w:tc>
        <w:tc>
          <w:tcPr>
            <w:tcW w:w="4141" w:type="dxa"/>
          </w:tcPr>
          <w:p w14:paraId="0D0C88AC"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31:</w:t>
            </w:r>
            <w:r w:rsidR="00DA4DFA">
              <w:rPr>
                <w:rFonts w:cstheme="minorHAnsi"/>
                <w:color w:val="000000" w:themeColor="text1"/>
                <w:sz w:val="18"/>
              </w:rPr>
              <w:t xml:space="preserve"> Ongoing Training – Max </w:t>
            </w:r>
            <w:r w:rsidR="003611EC">
              <w:rPr>
                <w:rFonts w:cstheme="minorHAnsi"/>
                <w:color w:val="000000" w:themeColor="text1"/>
                <w:sz w:val="18"/>
              </w:rPr>
              <w:t>3</w:t>
            </w:r>
            <w:r w:rsidR="00DA4DFA">
              <w:rPr>
                <w:rFonts w:cstheme="minorHAnsi"/>
                <w:color w:val="000000" w:themeColor="text1"/>
                <w:sz w:val="18"/>
              </w:rPr>
              <w:t xml:space="preserve"> Points</w:t>
            </w:r>
          </w:p>
        </w:tc>
        <w:tc>
          <w:tcPr>
            <w:tcW w:w="535" w:type="dxa"/>
          </w:tcPr>
          <w:p w14:paraId="34E3DBE4" w14:textId="77777777" w:rsidR="002C7AB0" w:rsidRPr="00524390" w:rsidRDefault="002C7AB0" w:rsidP="009D518A">
            <w:pPr>
              <w:jc w:val="both"/>
              <w:rPr>
                <w:rFonts w:cstheme="minorHAnsi"/>
                <w:color w:val="000000" w:themeColor="text1"/>
                <w:sz w:val="18"/>
              </w:rPr>
            </w:pPr>
          </w:p>
        </w:tc>
      </w:tr>
      <w:tr w:rsidR="002C7AB0" w14:paraId="78E92CC1" w14:textId="77777777" w:rsidTr="00524390">
        <w:tc>
          <w:tcPr>
            <w:tcW w:w="4135" w:type="dxa"/>
          </w:tcPr>
          <w:p w14:paraId="1AD613E2"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15:</w:t>
            </w:r>
            <w:r w:rsidR="00163418">
              <w:rPr>
                <w:rFonts w:cstheme="minorHAnsi"/>
                <w:color w:val="000000" w:themeColor="text1"/>
                <w:sz w:val="18"/>
              </w:rPr>
              <w:t xml:space="preserve"> Internal/External Audit – Max 2 Points</w:t>
            </w:r>
          </w:p>
        </w:tc>
        <w:tc>
          <w:tcPr>
            <w:tcW w:w="539" w:type="dxa"/>
          </w:tcPr>
          <w:p w14:paraId="21C574FC" w14:textId="77777777" w:rsidR="002C7AB0" w:rsidRPr="00524390" w:rsidRDefault="002C7AB0" w:rsidP="009D518A">
            <w:pPr>
              <w:jc w:val="both"/>
              <w:rPr>
                <w:rFonts w:cstheme="minorHAnsi"/>
                <w:color w:val="000000" w:themeColor="text1"/>
                <w:sz w:val="18"/>
              </w:rPr>
            </w:pPr>
          </w:p>
        </w:tc>
        <w:tc>
          <w:tcPr>
            <w:tcW w:w="4141" w:type="dxa"/>
          </w:tcPr>
          <w:p w14:paraId="2F259DA5"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32:</w:t>
            </w:r>
            <w:r w:rsidR="00DA4DFA">
              <w:rPr>
                <w:rFonts w:cstheme="minorHAnsi"/>
                <w:color w:val="000000" w:themeColor="text1"/>
                <w:sz w:val="18"/>
              </w:rPr>
              <w:t xml:space="preserve"> Inv Policy Review/Adoption – Max </w:t>
            </w:r>
            <w:r w:rsidR="003611EC">
              <w:rPr>
                <w:rFonts w:cstheme="minorHAnsi"/>
                <w:color w:val="000000" w:themeColor="text1"/>
                <w:sz w:val="18"/>
              </w:rPr>
              <w:t>3</w:t>
            </w:r>
            <w:r w:rsidR="00DA4DFA">
              <w:rPr>
                <w:rFonts w:cstheme="minorHAnsi"/>
                <w:color w:val="000000" w:themeColor="text1"/>
                <w:sz w:val="18"/>
              </w:rPr>
              <w:t xml:space="preserve"> Points</w:t>
            </w:r>
          </w:p>
        </w:tc>
        <w:tc>
          <w:tcPr>
            <w:tcW w:w="535" w:type="dxa"/>
          </w:tcPr>
          <w:p w14:paraId="511DA253" w14:textId="77777777" w:rsidR="002C7AB0" w:rsidRPr="00524390" w:rsidRDefault="002C7AB0" w:rsidP="009D518A">
            <w:pPr>
              <w:jc w:val="both"/>
              <w:rPr>
                <w:rFonts w:cstheme="minorHAnsi"/>
                <w:color w:val="000000" w:themeColor="text1"/>
                <w:sz w:val="18"/>
              </w:rPr>
            </w:pPr>
          </w:p>
        </w:tc>
      </w:tr>
      <w:tr w:rsidR="002C7AB0" w14:paraId="124DB37D" w14:textId="77777777" w:rsidTr="00524390">
        <w:tc>
          <w:tcPr>
            <w:tcW w:w="4135" w:type="dxa"/>
          </w:tcPr>
          <w:p w14:paraId="2466E9D1"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16:</w:t>
            </w:r>
            <w:r w:rsidR="00163418">
              <w:rPr>
                <w:rFonts w:cstheme="minorHAnsi"/>
                <w:color w:val="000000" w:themeColor="text1"/>
                <w:sz w:val="18"/>
              </w:rPr>
              <w:t xml:space="preserve"> Safekeeping and Custody – Max </w:t>
            </w:r>
            <w:r w:rsidR="003611EC">
              <w:rPr>
                <w:rFonts w:cstheme="minorHAnsi"/>
                <w:color w:val="000000" w:themeColor="text1"/>
                <w:sz w:val="18"/>
              </w:rPr>
              <w:t>3</w:t>
            </w:r>
            <w:r w:rsidR="00163418">
              <w:rPr>
                <w:rFonts w:cstheme="minorHAnsi"/>
                <w:color w:val="000000" w:themeColor="text1"/>
                <w:sz w:val="18"/>
              </w:rPr>
              <w:t xml:space="preserve"> Points</w:t>
            </w:r>
          </w:p>
        </w:tc>
        <w:tc>
          <w:tcPr>
            <w:tcW w:w="539" w:type="dxa"/>
          </w:tcPr>
          <w:p w14:paraId="1B24BA97" w14:textId="77777777" w:rsidR="002C7AB0" w:rsidRPr="00524390" w:rsidRDefault="002C7AB0" w:rsidP="009D518A">
            <w:pPr>
              <w:jc w:val="both"/>
              <w:rPr>
                <w:rFonts w:cstheme="minorHAnsi"/>
                <w:color w:val="000000" w:themeColor="text1"/>
                <w:sz w:val="18"/>
              </w:rPr>
            </w:pPr>
          </w:p>
        </w:tc>
        <w:tc>
          <w:tcPr>
            <w:tcW w:w="4141" w:type="dxa"/>
          </w:tcPr>
          <w:p w14:paraId="6B16E727" w14:textId="77777777" w:rsidR="002C7AB0" w:rsidRPr="00524390" w:rsidRDefault="002C7AB0" w:rsidP="00376EAD">
            <w:pPr>
              <w:jc w:val="both"/>
              <w:rPr>
                <w:rFonts w:cstheme="minorHAnsi"/>
                <w:color w:val="000000" w:themeColor="text1"/>
                <w:sz w:val="18"/>
              </w:rPr>
            </w:pPr>
            <w:r w:rsidRPr="00524390">
              <w:rPr>
                <w:rFonts w:cstheme="minorHAnsi"/>
                <w:color w:val="000000" w:themeColor="text1"/>
                <w:sz w:val="18"/>
              </w:rPr>
              <w:t>Section 33:</w:t>
            </w:r>
            <w:r w:rsidR="00DA4DFA">
              <w:rPr>
                <w:rFonts w:cstheme="minorHAnsi"/>
                <w:color w:val="000000" w:themeColor="text1"/>
                <w:sz w:val="18"/>
              </w:rPr>
              <w:t xml:space="preserve"> </w:t>
            </w:r>
            <w:r w:rsidR="004D0AB9">
              <w:rPr>
                <w:rFonts w:cstheme="minorHAnsi"/>
                <w:color w:val="000000" w:themeColor="text1"/>
                <w:sz w:val="18"/>
              </w:rPr>
              <w:t>Summary-Authorized Inv – Max 2 Points</w:t>
            </w:r>
          </w:p>
        </w:tc>
        <w:tc>
          <w:tcPr>
            <w:tcW w:w="535" w:type="dxa"/>
          </w:tcPr>
          <w:p w14:paraId="68AEBB20" w14:textId="77777777" w:rsidR="002C7AB0" w:rsidRPr="00524390" w:rsidRDefault="002C7AB0" w:rsidP="009D518A">
            <w:pPr>
              <w:jc w:val="both"/>
              <w:rPr>
                <w:rFonts w:cstheme="minorHAnsi"/>
                <w:color w:val="000000" w:themeColor="text1"/>
                <w:sz w:val="18"/>
              </w:rPr>
            </w:pPr>
          </w:p>
        </w:tc>
      </w:tr>
      <w:tr w:rsidR="002C7AB0" w14:paraId="7D77FE70" w14:textId="77777777" w:rsidTr="00524390">
        <w:tc>
          <w:tcPr>
            <w:tcW w:w="4135" w:type="dxa"/>
            <w:tcBorders>
              <w:bottom w:val="single" w:sz="4" w:space="0" w:color="000000"/>
            </w:tcBorders>
          </w:tcPr>
          <w:p w14:paraId="49EB755C"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17:</w:t>
            </w:r>
            <w:r w:rsidR="00163418">
              <w:rPr>
                <w:rFonts w:cstheme="minorHAnsi"/>
                <w:color w:val="000000" w:themeColor="text1"/>
                <w:sz w:val="18"/>
              </w:rPr>
              <w:t xml:space="preserve"> Authorized Investments – Max </w:t>
            </w:r>
            <w:r w:rsidR="003611EC">
              <w:rPr>
                <w:rFonts w:cstheme="minorHAnsi"/>
                <w:color w:val="000000" w:themeColor="text1"/>
                <w:sz w:val="18"/>
              </w:rPr>
              <w:t>8</w:t>
            </w:r>
            <w:r w:rsidR="00163418">
              <w:rPr>
                <w:rFonts w:cstheme="minorHAnsi"/>
                <w:color w:val="000000" w:themeColor="text1"/>
                <w:sz w:val="18"/>
              </w:rPr>
              <w:t xml:space="preserve"> Points</w:t>
            </w:r>
          </w:p>
        </w:tc>
        <w:tc>
          <w:tcPr>
            <w:tcW w:w="539" w:type="dxa"/>
            <w:tcBorders>
              <w:bottom w:val="single" w:sz="4" w:space="0" w:color="000000"/>
            </w:tcBorders>
          </w:tcPr>
          <w:p w14:paraId="6902380A" w14:textId="77777777" w:rsidR="002C7AB0" w:rsidRPr="00524390" w:rsidRDefault="002C7AB0" w:rsidP="009D518A">
            <w:pPr>
              <w:jc w:val="both"/>
              <w:rPr>
                <w:rFonts w:cstheme="minorHAnsi"/>
                <w:color w:val="000000" w:themeColor="text1"/>
                <w:sz w:val="18"/>
              </w:rPr>
            </w:pPr>
          </w:p>
        </w:tc>
        <w:tc>
          <w:tcPr>
            <w:tcW w:w="4141" w:type="dxa"/>
            <w:tcBorders>
              <w:bottom w:val="single" w:sz="4" w:space="0" w:color="000000"/>
            </w:tcBorders>
          </w:tcPr>
          <w:p w14:paraId="152CCDDF" w14:textId="77777777" w:rsidR="002C7AB0" w:rsidRPr="00524390" w:rsidRDefault="002C7AB0" w:rsidP="009D518A">
            <w:pPr>
              <w:jc w:val="both"/>
              <w:rPr>
                <w:rFonts w:cstheme="minorHAnsi"/>
                <w:color w:val="000000" w:themeColor="text1"/>
                <w:sz w:val="18"/>
              </w:rPr>
            </w:pPr>
            <w:r w:rsidRPr="00524390">
              <w:rPr>
                <w:rFonts w:cstheme="minorHAnsi"/>
                <w:color w:val="000000" w:themeColor="text1"/>
                <w:sz w:val="18"/>
              </w:rPr>
              <w:t>Section 34:</w:t>
            </w:r>
            <w:r w:rsidR="004D0AB9">
              <w:rPr>
                <w:rFonts w:cstheme="minorHAnsi"/>
                <w:color w:val="000000" w:themeColor="text1"/>
                <w:sz w:val="18"/>
              </w:rPr>
              <w:t xml:space="preserve"> Glossary</w:t>
            </w:r>
            <w:r w:rsidR="003611EC">
              <w:rPr>
                <w:rFonts w:cstheme="minorHAnsi"/>
                <w:color w:val="000000" w:themeColor="text1"/>
                <w:sz w:val="18"/>
              </w:rPr>
              <w:t xml:space="preserve"> – Max 3 Points</w:t>
            </w:r>
          </w:p>
        </w:tc>
        <w:tc>
          <w:tcPr>
            <w:tcW w:w="535" w:type="dxa"/>
            <w:tcBorders>
              <w:bottom w:val="single" w:sz="4" w:space="0" w:color="000000"/>
            </w:tcBorders>
          </w:tcPr>
          <w:p w14:paraId="72E2AF9D" w14:textId="77777777" w:rsidR="002C7AB0" w:rsidRPr="00524390" w:rsidRDefault="002C7AB0" w:rsidP="009D518A">
            <w:pPr>
              <w:jc w:val="both"/>
              <w:rPr>
                <w:rFonts w:cstheme="minorHAnsi"/>
                <w:color w:val="000000" w:themeColor="text1"/>
                <w:sz w:val="18"/>
              </w:rPr>
            </w:pPr>
          </w:p>
        </w:tc>
      </w:tr>
      <w:tr w:rsidR="002C7AB0" w14:paraId="10A9AF28" w14:textId="77777777" w:rsidTr="00524390">
        <w:tc>
          <w:tcPr>
            <w:tcW w:w="4135" w:type="dxa"/>
            <w:shd w:val="clear" w:color="auto" w:fill="BFBFBF" w:themeFill="background1" w:themeFillShade="BF"/>
          </w:tcPr>
          <w:p w14:paraId="7F68F7CF" w14:textId="77777777" w:rsidR="002C7AB0" w:rsidRPr="007D5842" w:rsidRDefault="007D5842" w:rsidP="009D518A">
            <w:pPr>
              <w:jc w:val="both"/>
              <w:rPr>
                <w:rFonts w:cstheme="minorHAnsi"/>
                <w:b/>
                <w:color w:val="000000" w:themeColor="text1"/>
              </w:rPr>
            </w:pPr>
            <w:r w:rsidRPr="007D5842">
              <w:rPr>
                <w:rFonts w:cstheme="minorHAnsi"/>
                <w:b/>
                <w:color w:val="000000" w:themeColor="text1"/>
              </w:rPr>
              <w:t>TOTAL</w:t>
            </w:r>
          </w:p>
        </w:tc>
        <w:tc>
          <w:tcPr>
            <w:tcW w:w="539" w:type="dxa"/>
            <w:shd w:val="clear" w:color="auto" w:fill="BFBFBF" w:themeFill="background1" w:themeFillShade="BF"/>
          </w:tcPr>
          <w:p w14:paraId="78F7BA67" w14:textId="77777777" w:rsidR="002C7AB0" w:rsidRPr="007D5842" w:rsidRDefault="002C7AB0" w:rsidP="009D518A">
            <w:pPr>
              <w:jc w:val="both"/>
              <w:rPr>
                <w:rFonts w:cstheme="minorHAnsi"/>
                <w:b/>
                <w:color w:val="000000" w:themeColor="text1"/>
              </w:rPr>
            </w:pPr>
          </w:p>
        </w:tc>
        <w:tc>
          <w:tcPr>
            <w:tcW w:w="4141" w:type="dxa"/>
            <w:shd w:val="clear" w:color="auto" w:fill="BFBFBF" w:themeFill="background1" w:themeFillShade="BF"/>
          </w:tcPr>
          <w:p w14:paraId="52B70B83" w14:textId="77777777" w:rsidR="002C7AB0" w:rsidRPr="007D5842" w:rsidRDefault="007D5842" w:rsidP="009D518A">
            <w:pPr>
              <w:jc w:val="both"/>
              <w:rPr>
                <w:rFonts w:cstheme="minorHAnsi"/>
                <w:b/>
                <w:color w:val="000000" w:themeColor="text1"/>
              </w:rPr>
            </w:pPr>
            <w:r w:rsidRPr="007D5842">
              <w:rPr>
                <w:rFonts w:cstheme="minorHAnsi"/>
                <w:b/>
                <w:color w:val="000000" w:themeColor="text1"/>
              </w:rPr>
              <w:t>TOTAL</w:t>
            </w:r>
          </w:p>
        </w:tc>
        <w:tc>
          <w:tcPr>
            <w:tcW w:w="535" w:type="dxa"/>
            <w:shd w:val="clear" w:color="auto" w:fill="BFBFBF" w:themeFill="background1" w:themeFillShade="BF"/>
          </w:tcPr>
          <w:p w14:paraId="53417170" w14:textId="77777777" w:rsidR="002C7AB0" w:rsidRPr="007D5842" w:rsidRDefault="002C7AB0" w:rsidP="009D518A">
            <w:pPr>
              <w:jc w:val="both"/>
              <w:rPr>
                <w:rFonts w:cstheme="minorHAnsi"/>
                <w:b/>
                <w:color w:val="000000" w:themeColor="text1"/>
              </w:rPr>
            </w:pPr>
          </w:p>
        </w:tc>
      </w:tr>
    </w:tbl>
    <w:p w14:paraId="58B1405C" w14:textId="77777777" w:rsidR="007D5842" w:rsidRPr="00DF0EA3" w:rsidRDefault="007D5842" w:rsidP="009D518A">
      <w:pPr>
        <w:spacing w:after="0" w:line="240" w:lineRule="auto"/>
        <w:jc w:val="both"/>
        <w:rPr>
          <w:rFonts w:cstheme="minorHAnsi"/>
          <w:color w:val="000000" w:themeColor="text1"/>
          <w:sz w:val="10"/>
          <w:szCs w:val="10"/>
        </w:rPr>
      </w:pPr>
    </w:p>
    <w:tbl>
      <w:tblPr>
        <w:tblStyle w:val="TableGrid"/>
        <w:tblW w:w="0" w:type="auto"/>
        <w:tblLook w:val="04A0" w:firstRow="1" w:lastRow="0" w:firstColumn="1" w:lastColumn="0" w:noHBand="0" w:noVBand="1"/>
      </w:tblPr>
      <w:tblGrid>
        <w:gridCol w:w="8815"/>
        <w:gridCol w:w="535"/>
      </w:tblGrid>
      <w:tr w:rsidR="00DF0EA3" w14:paraId="3BB7B811" w14:textId="77777777" w:rsidTr="00DF0EA3">
        <w:tc>
          <w:tcPr>
            <w:tcW w:w="8815" w:type="dxa"/>
            <w:shd w:val="clear" w:color="auto" w:fill="323E4F" w:themeFill="text2" w:themeFillShade="BF"/>
          </w:tcPr>
          <w:p w14:paraId="22FEF76B" w14:textId="77777777" w:rsidR="00DF0EA3" w:rsidRPr="00DF0EA3" w:rsidRDefault="00DF0EA3" w:rsidP="009D518A">
            <w:pPr>
              <w:jc w:val="both"/>
              <w:rPr>
                <w:rFonts w:cstheme="minorHAnsi"/>
                <w:b/>
                <w:color w:val="FFFFFF" w:themeColor="background1"/>
              </w:rPr>
            </w:pPr>
            <w:r w:rsidRPr="00DF0EA3">
              <w:rPr>
                <w:rFonts w:cstheme="minorHAnsi"/>
                <w:b/>
                <w:color w:val="FFFFFF" w:themeColor="background1"/>
                <w:sz w:val="24"/>
              </w:rPr>
              <w:t>OVERALL TOTAL SCORE</w:t>
            </w:r>
          </w:p>
        </w:tc>
        <w:tc>
          <w:tcPr>
            <w:tcW w:w="535" w:type="dxa"/>
          </w:tcPr>
          <w:p w14:paraId="2A66903A" w14:textId="77777777" w:rsidR="00DF0EA3" w:rsidRDefault="00DF0EA3" w:rsidP="009D518A">
            <w:pPr>
              <w:jc w:val="both"/>
              <w:rPr>
                <w:rFonts w:cstheme="minorHAnsi"/>
                <w:color w:val="000000" w:themeColor="text1"/>
              </w:rPr>
            </w:pPr>
          </w:p>
        </w:tc>
      </w:tr>
    </w:tbl>
    <w:p w14:paraId="121D4A75" w14:textId="77777777" w:rsidR="00DF0EA3" w:rsidRPr="00DF0EA3" w:rsidRDefault="00DF0EA3" w:rsidP="009D518A">
      <w:pPr>
        <w:spacing w:after="0" w:line="240" w:lineRule="auto"/>
        <w:jc w:val="both"/>
        <w:rPr>
          <w:rFonts w:cstheme="minorHAnsi"/>
          <w:b/>
          <w:color w:val="000000" w:themeColor="text1"/>
          <w:sz w:val="12"/>
          <w:szCs w:val="12"/>
        </w:rPr>
      </w:pPr>
    </w:p>
    <w:p w14:paraId="08BE1BA9" w14:textId="36C01631" w:rsidR="007D5842" w:rsidRPr="007D5842" w:rsidRDefault="003611EC" w:rsidP="009D518A">
      <w:pPr>
        <w:spacing w:after="0" w:line="240" w:lineRule="auto"/>
        <w:jc w:val="both"/>
        <w:rPr>
          <w:rFonts w:cstheme="minorHAnsi"/>
          <w:b/>
          <w:color w:val="000000" w:themeColor="text1"/>
          <w:sz w:val="20"/>
        </w:rPr>
      </w:pPr>
      <w:r>
        <w:rPr>
          <w:rFonts w:cstheme="minorHAnsi"/>
          <w:b/>
          <w:color w:val="000000" w:themeColor="text1"/>
          <w:sz w:val="20"/>
        </w:rPr>
        <w:t>Certified Policy Must Score 85</w:t>
      </w:r>
      <w:r w:rsidR="007D5842" w:rsidRPr="007D5842">
        <w:rPr>
          <w:rFonts w:cstheme="minorHAnsi"/>
          <w:b/>
          <w:color w:val="000000" w:themeColor="text1"/>
          <w:sz w:val="20"/>
        </w:rPr>
        <w:t xml:space="preserve"> Points or Above</w:t>
      </w:r>
      <w:r w:rsidR="00DE4046">
        <w:rPr>
          <w:rFonts w:cstheme="minorHAnsi"/>
          <w:b/>
          <w:color w:val="000000" w:themeColor="text1"/>
          <w:sz w:val="20"/>
        </w:rPr>
        <w:t>, By At Least Two Reviewers</w:t>
      </w:r>
    </w:p>
    <w:p w14:paraId="0037DBDE" w14:textId="77777777" w:rsidR="007D5842" w:rsidRDefault="007D5842" w:rsidP="009D518A">
      <w:pPr>
        <w:spacing w:after="0" w:line="240" w:lineRule="auto"/>
        <w:jc w:val="both"/>
        <w:rPr>
          <w:rFonts w:cstheme="minorHAnsi"/>
          <w:color w:val="000000" w:themeColor="text1"/>
          <w:sz w:val="20"/>
        </w:rPr>
      </w:pPr>
    </w:p>
    <w:tbl>
      <w:tblPr>
        <w:tblStyle w:val="TableGrid"/>
        <w:tblW w:w="0" w:type="auto"/>
        <w:tblLook w:val="04A0" w:firstRow="1" w:lastRow="0" w:firstColumn="1" w:lastColumn="0" w:noHBand="0" w:noVBand="1"/>
      </w:tblPr>
      <w:tblGrid>
        <w:gridCol w:w="9350"/>
      </w:tblGrid>
      <w:tr w:rsidR="007D5842" w14:paraId="1CF33338" w14:textId="77777777" w:rsidTr="007D5842">
        <w:tc>
          <w:tcPr>
            <w:tcW w:w="9350" w:type="dxa"/>
            <w:shd w:val="clear" w:color="auto" w:fill="BFBFBF" w:themeFill="background1" w:themeFillShade="BF"/>
          </w:tcPr>
          <w:p w14:paraId="79FA9356" w14:textId="77777777" w:rsidR="007D5842" w:rsidRPr="007D5842" w:rsidRDefault="007D5842" w:rsidP="009D518A">
            <w:pPr>
              <w:jc w:val="both"/>
              <w:rPr>
                <w:rFonts w:cstheme="minorHAnsi"/>
                <w:b/>
                <w:color w:val="000000" w:themeColor="text1"/>
              </w:rPr>
            </w:pPr>
            <w:r w:rsidRPr="007D5842">
              <w:rPr>
                <w:rFonts w:cstheme="minorHAnsi"/>
                <w:b/>
                <w:color w:val="000000" w:themeColor="text1"/>
              </w:rPr>
              <w:t>Evaluator Comments/Suggestions:</w:t>
            </w:r>
          </w:p>
        </w:tc>
      </w:tr>
      <w:tr w:rsidR="007D5842" w14:paraId="6CC4B750" w14:textId="77777777" w:rsidTr="006E289F">
        <w:trPr>
          <w:trHeight w:val="5147"/>
        </w:trPr>
        <w:tc>
          <w:tcPr>
            <w:tcW w:w="9350" w:type="dxa"/>
          </w:tcPr>
          <w:p w14:paraId="3900BFA4" w14:textId="77777777" w:rsidR="007D5842" w:rsidRDefault="007D5842" w:rsidP="009D518A">
            <w:pPr>
              <w:jc w:val="both"/>
              <w:rPr>
                <w:rFonts w:cstheme="minorHAnsi"/>
                <w:color w:val="000000" w:themeColor="text1"/>
              </w:rPr>
            </w:pPr>
          </w:p>
        </w:tc>
      </w:tr>
    </w:tbl>
    <w:p w14:paraId="51B975DE" w14:textId="77777777" w:rsidR="007D5842" w:rsidRPr="00921B1E" w:rsidRDefault="007D5842" w:rsidP="006E289F">
      <w:pPr>
        <w:spacing w:after="0" w:line="240" w:lineRule="auto"/>
        <w:jc w:val="both"/>
        <w:rPr>
          <w:rFonts w:cstheme="minorHAnsi"/>
          <w:color w:val="000000" w:themeColor="text1"/>
          <w:sz w:val="20"/>
        </w:rPr>
      </w:pPr>
    </w:p>
    <w:sectPr w:rsidR="007D5842" w:rsidRPr="00921B1E" w:rsidSect="003641BB">
      <w:headerReference w:type="default" r:id="rId7"/>
      <w:footerReference w:type="default" r:id="rId8"/>
      <w:pgSz w:w="12240" w:h="15840"/>
      <w:pgMar w:top="1440" w:right="1440" w:bottom="1440" w:left="1440" w:header="720" w:footer="5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3D93" w14:textId="77777777" w:rsidR="00C578CC" w:rsidRDefault="00C578CC" w:rsidP="009B5C64">
      <w:pPr>
        <w:spacing w:after="0" w:line="240" w:lineRule="auto"/>
      </w:pPr>
      <w:r>
        <w:separator/>
      </w:r>
    </w:p>
  </w:endnote>
  <w:endnote w:type="continuationSeparator" w:id="0">
    <w:p w14:paraId="4608578B" w14:textId="77777777" w:rsidR="00C578CC" w:rsidRDefault="00C578CC" w:rsidP="009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3008" w14:textId="6B0B3DDB" w:rsidR="00C908EF" w:rsidRPr="009B5C64" w:rsidRDefault="00C908EF" w:rsidP="009B5C64">
    <w:pPr>
      <w:pStyle w:val="Footer"/>
      <w:jc w:val="center"/>
      <w:rPr>
        <w:b/>
        <w:color w:val="002060"/>
        <w:sz w:val="28"/>
      </w:rPr>
    </w:pPr>
    <w:r>
      <w:rPr>
        <w:b/>
        <w:noProof/>
        <w:color w:val="002060"/>
        <w:sz w:val="28"/>
      </w:rPr>
      <mc:AlternateContent>
        <mc:Choice Requires="wps">
          <w:drawing>
            <wp:anchor distT="0" distB="0" distL="114300" distR="114300" simplePos="0" relativeHeight="251659264" behindDoc="0" locked="0" layoutInCell="1" allowOverlap="1" wp14:anchorId="067F9B44" wp14:editId="68743D5E">
              <wp:simplePos x="0" y="0"/>
              <wp:positionH relativeFrom="column">
                <wp:posOffset>-736980</wp:posOffset>
              </wp:positionH>
              <wp:positionV relativeFrom="paragraph">
                <wp:posOffset>-50525</wp:posOffset>
              </wp:positionV>
              <wp:extent cx="7369791"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7369791"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E76A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05pt,-4pt" to="5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" strokecolor="#1f3763 [1608]" strokeweight=".5pt">
              <v:stroke joinstyle="miter"/>
            </v:line>
          </w:pict>
        </mc:Fallback>
      </mc:AlternateContent>
    </w:r>
    <w:r w:rsidRPr="009B5C64">
      <w:rPr>
        <w:b/>
        <w:color w:val="002060"/>
        <w:sz w:val="28"/>
      </w:rPr>
      <w:t>GIOA Investment Policy Certification Program and Application</w:t>
    </w:r>
    <w:r>
      <w:rPr>
        <w:b/>
        <w:color w:val="002060"/>
        <w:sz w:val="28"/>
      </w:rPr>
      <w:t xml:space="preserve"> – 202</w:t>
    </w:r>
    <w:r w:rsidR="009E2C15">
      <w:rPr>
        <w:b/>
        <w:color w:val="002060"/>
        <w:sz w:val="28"/>
      </w:rPr>
      <w:t>6</w:t>
    </w:r>
    <w:r>
      <w:rPr>
        <w:b/>
        <w:color w:val="002060"/>
        <w:sz w:val="28"/>
      </w:rPr>
      <w:t xml:space="preserve"> </w:t>
    </w:r>
  </w:p>
  <w:p w14:paraId="16EE879D" w14:textId="77777777" w:rsidR="00C908EF" w:rsidRDefault="00C908E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06A2" w14:textId="77777777" w:rsidR="00C578CC" w:rsidRDefault="00C578CC" w:rsidP="009B5C64">
      <w:pPr>
        <w:spacing w:after="0" w:line="240" w:lineRule="auto"/>
      </w:pPr>
      <w:r>
        <w:separator/>
      </w:r>
    </w:p>
  </w:footnote>
  <w:footnote w:type="continuationSeparator" w:id="0">
    <w:p w14:paraId="5CB2E0AB" w14:textId="77777777" w:rsidR="00C578CC" w:rsidRDefault="00C578CC" w:rsidP="009B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C476" w14:textId="77777777" w:rsidR="00C908EF" w:rsidRDefault="00C908EF">
    <w:pPr>
      <w:pStyle w:val="Header"/>
    </w:pPr>
    <w:r>
      <w:rPr>
        <w:noProof/>
      </w:rPr>
      <w:drawing>
        <wp:anchor distT="0" distB="0" distL="114300" distR="114300" simplePos="0" relativeHeight="251658240" behindDoc="0" locked="0" layoutInCell="1" allowOverlap="1" wp14:anchorId="3DF150BB" wp14:editId="6DB2FC22">
          <wp:simplePos x="0" y="0"/>
          <wp:positionH relativeFrom="column">
            <wp:posOffset>5761990</wp:posOffset>
          </wp:positionH>
          <wp:positionV relativeFrom="paragraph">
            <wp:posOffset>-276225</wp:posOffset>
          </wp:positionV>
          <wp:extent cx="733425" cy="718820"/>
          <wp:effectExtent l="0" t="0" r="952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188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8F0"/>
    <w:multiLevelType w:val="hybridMultilevel"/>
    <w:tmpl w:val="914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5733B"/>
    <w:multiLevelType w:val="hybridMultilevel"/>
    <w:tmpl w:val="E7E6F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A63A0"/>
    <w:multiLevelType w:val="hybridMultilevel"/>
    <w:tmpl w:val="903CD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85B14"/>
    <w:multiLevelType w:val="hybridMultilevel"/>
    <w:tmpl w:val="8E90BB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453B5A"/>
    <w:multiLevelType w:val="hybridMultilevel"/>
    <w:tmpl w:val="428C5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C0E3D"/>
    <w:multiLevelType w:val="hybridMultilevel"/>
    <w:tmpl w:val="D9C88F7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2359D"/>
    <w:multiLevelType w:val="hybridMultilevel"/>
    <w:tmpl w:val="0DE421DE"/>
    <w:lvl w:ilvl="0" w:tplc="833630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F5D93"/>
    <w:multiLevelType w:val="hybridMultilevel"/>
    <w:tmpl w:val="4B267808"/>
    <w:lvl w:ilvl="0" w:tplc="5C0806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1539C"/>
    <w:multiLevelType w:val="hybridMultilevel"/>
    <w:tmpl w:val="936E7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A41CF"/>
    <w:multiLevelType w:val="hybridMultilevel"/>
    <w:tmpl w:val="D3EC7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15074"/>
    <w:multiLevelType w:val="hybridMultilevel"/>
    <w:tmpl w:val="4866D49A"/>
    <w:lvl w:ilvl="0" w:tplc="FA622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442F1"/>
    <w:multiLevelType w:val="hybridMultilevel"/>
    <w:tmpl w:val="B2C23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84240"/>
    <w:multiLevelType w:val="hybridMultilevel"/>
    <w:tmpl w:val="CA281E9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64159"/>
    <w:multiLevelType w:val="hybridMultilevel"/>
    <w:tmpl w:val="72F47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581B"/>
    <w:multiLevelType w:val="hybridMultilevel"/>
    <w:tmpl w:val="A6F6941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2205A"/>
    <w:multiLevelType w:val="hybridMultilevel"/>
    <w:tmpl w:val="A8AA249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2315A"/>
    <w:multiLevelType w:val="hybridMultilevel"/>
    <w:tmpl w:val="291EB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D0DC9"/>
    <w:multiLevelType w:val="hybridMultilevel"/>
    <w:tmpl w:val="0E66B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14AC5"/>
    <w:multiLevelType w:val="hybridMultilevel"/>
    <w:tmpl w:val="A584631C"/>
    <w:lvl w:ilvl="0" w:tplc="FA1A5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718119">
    <w:abstractNumId w:val="11"/>
  </w:num>
  <w:num w:numId="2" w16cid:durableId="1564944621">
    <w:abstractNumId w:val="6"/>
  </w:num>
  <w:num w:numId="3" w16cid:durableId="232080854">
    <w:abstractNumId w:val="14"/>
  </w:num>
  <w:num w:numId="4" w16cid:durableId="1112436880">
    <w:abstractNumId w:val="4"/>
  </w:num>
  <w:num w:numId="5" w16cid:durableId="936642971">
    <w:abstractNumId w:val="15"/>
  </w:num>
  <w:num w:numId="6" w16cid:durableId="1456950147">
    <w:abstractNumId w:val="1"/>
  </w:num>
  <w:num w:numId="7" w16cid:durableId="1296376602">
    <w:abstractNumId w:val="12"/>
  </w:num>
  <w:num w:numId="8" w16cid:durableId="1797792201">
    <w:abstractNumId w:val="9"/>
  </w:num>
  <w:num w:numId="9" w16cid:durableId="688412013">
    <w:abstractNumId w:val="16"/>
  </w:num>
  <w:num w:numId="10" w16cid:durableId="2091804187">
    <w:abstractNumId w:val="2"/>
  </w:num>
  <w:num w:numId="11" w16cid:durableId="1557427440">
    <w:abstractNumId w:val="5"/>
  </w:num>
  <w:num w:numId="12" w16cid:durableId="3898761">
    <w:abstractNumId w:val="17"/>
  </w:num>
  <w:num w:numId="13" w16cid:durableId="1485127985">
    <w:abstractNumId w:val="13"/>
  </w:num>
  <w:num w:numId="14" w16cid:durableId="2023236783">
    <w:abstractNumId w:val="3"/>
  </w:num>
  <w:num w:numId="15" w16cid:durableId="1081633947">
    <w:abstractNumId w:val="0"/>
  </w:num>
  <w:num w:numId="16" w16cid:durableId="1790125092">
    <w:abstractNumId w:val="8"/>
  </w:num>
  <w:num w:numId="17" w16cid:durableId="1173910207">
    <w:abstractNumId w:val="7"/>
  </w:num>
  <w:num w:numId="18" w16cid:durableId="1316684122">
    <w:abstractNumId w:val="18"/>
  </w:num>
  <w:num w:numId="19" w16cid:durableId="1200585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64"/>
    <w:rsid w:val="0002148D"/>
    <w:rsid w:val="000433FA"/>
    <w:rsid w:val="00057CAA"/>
    <w:rsid w:val="00070C7C"/>
    <w:rsid w:val="00086CCE"/>
    <w:rsid w:val="000D6A5A"/>
    <w:rsid w:val="000E1CDF"/>
    <w:rsid w:val="000E2DE7"/>
    <w:rsid w:val="000E55A3"/>
    <w:rsid w:val="000F2579"/>
    <w:rsid w:val="001276B4"/>
    <w:rsid w:val="00163418"/>
    <w:rsid w:val="00167B28"/>
    <w:rsid w:val="00182DCD"/>
    <w:rsid w:val="001B7900"/>
    <w:rsid w:val="001C048E"/>
    <w:rsid w:val="001D0E1A"/>
    <w:rsid w:val="001D12F9"/>
    <w:rsid w:val="001D4BBF"/>
    <w:rsid w:val="001F3656"/>
    <w:rsid w:val="0022004C"/>
    <w:rsid w:val="00225A8F"/>
    <w:rsid w:val="00226896"/>
    <w:rsid w:val="00231EDC"/>
    <w:rsid w:val="002356D2"/>
    <w:rsid w:val="00290AAF"/>
    <w:rsid w:val="002A3DC4"/>
    <w:rsid w:val="002A4FD9"/>
    <w:rsid w:val="002C7AB0"/>
    <w:rsid w:val="003611EC"/>
    <w:rsid w:val="003641BB"/>
    <w:rsid w:val="00376EAD"/>
    <w:rsid w:val="003B0904"/>
    <w:rsid w:val="003B14CE"/>
    <w:rsid w:val="003C3E37"/>
    <w:rsid w:val="003F0D1A"/>
    <w:rsid w:val="004048D8"/>
    <w:rsid w:val="00407835"/>
    <w:rsid w:val="00434FD0"/>
    <w:rsid w:val="004475F0"/>
    <w:rsid w:val="00465961"/>
    <w:rsid w:val="0047376F"/>
    <w:rsid w:val="004929F9"/>
    <w:rsid w:val="00493B5E"/>
    <w:rsid w:val="004D0AB9"/>
    <w:rsid w:val="00500C8D"/>
    <w:rsid w:val="005178BE"/>
    <w:rsid w:val="00524390"/>
    <w:rsid w:val="00541A80"/>
    <w:rsid w:val="00541BA0"/>
    <w:rsid w:val="005B5A0D"/>
    <w:rsid w:val="005C0197"/>
    <w:rsid w:val="005F3C39"/>
    <w:rsid w:val="00604D5F"/>
    <w:rsid w:val="00673E22"/>
    <w:rsid w:val="006C48A9"/>
    <w:rsid w:val="006E289F"/>
    <w:rsid w:val="006F121E"/>
    <w:rsid w:val="00752E2F"/>
    <w:rsid w:val="00786743"/>
    <w:rsid w:val="007A372D"/>
    <w:rsid w:val="007A7CBB"/>
    <w:rsid w:val="007B5A26"/>
    <w:rsid w:val="007C59D1"/>
    <w:rsid w:val="007D5842"/>
    <w:rsid w:val="007D6754"/>
    <w:rsid w:val="007E014A"/>
    <w:rsid w:val="007F3A95"/>
    <w:rsid w:val="007F472D"/>
    <w:rsid w:val="00800744"/>
    <w:rsid w:val="00845ADB"/>
    <w:rsid w:val="00855C73"/>
    <w:rsid w:val="00880848"/>
    <w:rsid w:val="008E3F41"/>
    <w:rsid w:val="008E3F44"/>
    <w:rsid w:val="00921B1E"/>
    <w:rsid w:val="00926BC2"/>
    <w:rsid w:val="00951085"/>
    <w:rsid w:val="00957D9F"/>
    <w:rsid w:val="00961098"/>
    <w:rsid w:val="00962967"/>
    <w:rsid w:val="009B5C64"/>
    <w:rsid w:val="009D518A"/>
    <w:rsid w:val="009D6D51"/>
    <w:rsid w:val="009E2C15"/>
    <w:rsid w:val="009F1967"/>
    <w:rsid w:val="009F7BC2"/>
    <w:rsid w:val="00A31144"/>
    <w:rsid w:val="00A322FB"/>
    <w:rsid w:val="00AE42BC"/>
    <w:rsid w:val="00AE50EA"/>
    <w:rsid w:val="00AE7F06"/>
    <w:rsid w:val="00B10EA8"/>
    <w:rsid w:val="00B125C1"/>
    <w:rsid w:val="00B156F4"/>
    <w:rsid w:val="00B42CB2"/>
    <w:rsid w:val="00B445FD"/>
    <w:rsid w:val="00B44D25"/>
    <w:rsid w:val="00BA0677"/>
    <w:rsid w:val="00BA4C9A"/>
    <w:rsid w:val="00BB2BFB"/>
    <w:rsid w:val="00BD5C83"/>
    <w:rsid w:val="00BE6103"/>
    <w:rsid w:val="00BF2B67"/>
    <w:rsid w:val="00BF74A7"/>
    <w:rsid w:val="00C578CC"/>
    <w:rsid w:val="00C85021"/>
    <w:rsid w:val="00C908EF"/>
    <w:rsid w:val="00CB5901"/>
    <w:rsid w:val="00CD20DA"/>
    <w:rsid w:val="00D03473"/>
    <w:rsid w:val="00D267AA"/>
    <w:rsid w:val="00D376A5"/>
    <w:rsid w:val="00D524A6"/>
    <w:rsid w:val="00DA4B35"/>
    <w:rsid w:val="00DA4DFA"/>
    <w:rsid w:val="00DE4046"/>
    <w:rsid w:val="00DF029A"/>
    <w:rsid w:val="00DF0EA3"/>
    <w:rsid w:val="00E026C1"/>
    <w:rsid w:val="00E148E0"/>
    <w:rsid w:val="00E25529"/>
    <w:rsid w:val="00E7737C"/>
    <w:rsid w:val="00E818BE"/>
    <w:rsid w:val="00EB61A3"/>
    <w:rsid w:val="00EC3537"/>
    <w:rsid w:val="00EE0FD4"/>
    <w:rsid w:val="00EE5B67"/>
    <w:rsid w:val="00F52BA2"/>
    <w:rsid w:val="00F63CEE"/>
    <w:rsid w:val="00F65088"/>
    <w:rsid w:val="00F77488"/>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F31F"/>
  <w15:chartTrackingRefBased/>
  <w15:docId w15:val="{4790092A-354C-4D7D-954A-1D979FF7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64"/>
  </w:style>
  <w:style w:type="paragraph" w:styleId="Footer">
    <w:name w:val="footer"/>
    <w:basedOn w:val="Normal"/>
    <w:link w:val="FooterChar"/>
    <w:uiPriority w:val="99"/>
    <w:unhideWhenUsed/>
    <w:rsid w:val="009B5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64"/>
  </w:style>
  <w:style w:type="paragraph" w:styleId="NoSpacing">
    <w:name w:val="No Spacing"/>
    <w:uiPriority w:val="1"/>
    <w:qFormat/>
    <w:rsid w:val="00E818BE"/>
    <w:pPr>
      <w:spacing w:after="0" w:line="240" w:lineRule="auto"/>
      <w:ind w:left="720" w:right="720"/>
    </w:pPr>
    <w:rPr>
      <w:color w:val="595959" w:themeColor="text1" w:themeTint="A6"/>
      <w:kern w:val="20"/>
      <w:sz w:val="24"/>
      <w:szCs w:val="20"/>
      <w:lang w:eastAsia="ja-JP"/>
    </w:rPr>
  </w:style>
  <w:style w:type="character" w:styleId="Hyperlink">
    <w:name w:val="Hyperlink"/>
    <w:basedOn w:val="DefaultParagraphFont"/>
    <w:uiPriority w:val="99"/>
    <w:unhideWhenUsed/>
    <w:rsid w:val="00BF74A7"/>
    <w:rPr>
      <w:color w:val="0563C1" w:themeColor="hyperlink"/>
      <w:u w:val="single"/>
    </w:rPr>
  </w:style>
  <w:style w:type="paragraph" w:styleId="BalloonText">
    <w:name w:val="Balloon Text"/>
    <w:basedOn w:val="Normal"/>
    <w:link w:val="BalloonTextChar"/>
    <w:uiPriority w:val="99"/>
    <w:semiHidden/>
    <w:unhideWhenUsed/>
    <w:rsid w:val="005C0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197"/>
    <w:rPr>
      <w:rFonts w:ascii="Segoe UI" w:hAnsi="Segoe UI" w:cs="Segoe UI"/>
      <w:sz w:val="18"/>
      <w:szCs w:val="18"/>
    </w:rPr>
  </w:style>
  <w:style w:type="paragraph" w:styleId="ListParagraph">
    <w:name w:val="List Paragraph"/>
    <w:basedOn w:val="Normal"/>
    <w:uiPriority w:val="34"/>
    <w:qFormat/>
    <w:rsid w:val="0002148D"/>
    <w:pPr>
      <w:ind w:left="720"/>
      <w:contextualSpacing/>
    </w:pPr>
  </w:style>
  <w:style w:type="table" w:styleId="TableGrid">
    <w:name w:val="Table Grid"/>
    <w:basedOn w:val="TableNormal"/>
    <w:uiPriority w:val="59"/>
    <w:rsid w:val="003641B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E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1874">
      <w:bodyDiv w:val="1"/>
      <w:marLeft w:val="0"/>
      <w:marRight w:val="0"/>
      <w:marTop w:val="0"/>
      <w:marBottom w:val="0"/>
      <w:divBdr>
        <w:top w:val="none" w:sz="0" w:space="0" w:color="auto"/>
        <w:left w:val="none" w:sz="0" w:space="0" w:color="auto"/>
        <w:bottom w:val="none" w:sz="0" w:space="0" w:color="auto"/>
        <w:right w:val="none" w:sz="0" w:space="0" w:color="auto"/>
      </w:divBdr>
    </w:div>
    <w:div w:id="1146094806">
      <w:bodyDiv w:val="1"/>
      <w:marLeft w:val="0"/>
      <w:marRight w:val="0"/>
      <w:marTop w:val="0"/>
      <w:marBottom w:val="0"/>
      <w:divBdr>
        <w:top w:val="none" w:sz="0" w:space="0" w:color="auto"/>
        <w:left w:val="none" w:sz="0" w:space="0" w:color="auto"/>
        <w:bottom w:val="none" w:sz="0" w:space="0" w:color="auto"/>
        <w:right w:val="none" w:sz="0" w:space="0" w:color="auto"/>
      </w:divBdr>
    </w:div>
    <w:div w:id="20221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11255</Words>
  <Characters>63145</Characters>
  <Application>Microsoft Office Word</Application>
  <DocSecurity>0</DocSecurity>
  <Lines>1578</Lines>
  <Paragraphs>708</Paragraphs>
  <ScaleCrop>false</ScaleCrop>
  <HeadingPairs>
    <vt:vector size="2" baseType="variant">
      <vt:variant>
        <vt:lpstr>Title</vt:lpstr>
      </vt:variant>
      <vt:variant>
        <vt:i4>1</vt:i4>
      </vt:variant>
    </vt:vector>
  </HeadingPairs>
  <TitlesOfParts>
    <vt:vector size="1" baseType="lpstr">
      <vt:lpstr/>
    </vt:vector>
  </TitlesOfParts>
  <Company>FTN Financial</Company>
  <LinksUpToDate>false</LinksUpToDate>
  <CharactersWithSpaces>73692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Rick</dc:creator>
  <cp:keywords/>
  <dc:description/>
  <cp:lastModifiedBy>Rick Phillips</cp:lastModifiedBy>
  <cp:revision>3</cp:revision>
  <cp:lastPrinted>2026-02-22T21:08:00Z</cp:lastPrinted>
  <dcterms:created xsi:type="dcterms:W3CDTF">2026-02-22T21:12:00Z</dcterms:created>
  <dcterms:modified xsi:type="dcterms:W3CDTF">2026-02-22T21:15:00Z</dcterms:modified>
</cp:coreProperties>
</file>