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8837" w14:textId="77777777" w:rsidR="00D16EF8" w:rsidRPr="00D16EF8" w:rsidRDefault="00D16EF8" w:rsidP="00D16EF8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28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36"/>
          <w:sz w:val="28"/>
          <w:szCs w:val="28"/>
          <w14:ligatures w14:val="none"/>
        </w:rPr>
        <w:t>Treasury Software Consultant – Investment &amp; Debt Management (Public Sector)</w:t>
      </w:r>
    </w:p>
    <w:p w14:paraId="68682B2A" w14:textId="0A537784" w:rsidR="00D16EF8" w:rsidRDefault="00D16EF8" w:rsidP="00D16EF8">
      <w:pPr>
        <w:spacing w:after="0" w:line="240" w:lineRule="auto"/>
        <w:outlineLvl w:val="0"/>
        <w:rPr>
          <w:rFonts w:ascii="Segoe UI" w:eastAsia="Times New Roman" w:hAnsi="Segoe UI" w:cs="Segoe UI"/>
          <w:kern w:val="36"/>
          <w14:ligatures w14:val="none"/>
        </w:rPr>
      </w:pPr>
      <w:r>
        <w:rPr>
          <w:rFonts w:ascii="Segoe UI" w:eastAsia="Times New Roman" w:hAnsi="Segoe UI" w:cs="Segoe UI"/>
          <w:kern w:val="36"/>
          <w14:ligatures w14:val="none"/>
        </w:rPr>
        <w:t>SymPro, a division of Constellation Software Inc.</w:t>
      </w:r>
    </w:p>
    <w:p w14:paraId="4A75B84E" w14:textId="6F0AC1F6" w:rsidR="00D16EF8" w:rsidRPr="00D16EF8" w:rsidRDefault="00D16EF8" w:rsidP="00D16EF8">
      <w:pPr>
        <w:spacing w:after="0" w:line="240" w:lineRule="auto"/>
        <w:outlineLvl w:val="0"/>
        <w:rPr>
          <w:rFonts w:ascii="Segoe UI" w:eastAsia="Times New Roman" w:hAnsi="Segoe UI" w:cs="Segoe UI"/>
          <w:kern w:val="36"/>
          <w14:ligatures w14:val="none"/>
        </w:rPr>
      </w:pPr>
      <w:r>
        <w:rPr>
          <w:rFonts w:ascii="Segoe UI" w:eastAsia="Times New Roman" w:hAnsi="Segoe UI" w:cs="Segoe UI"/>
          <w:kern w:val="36"/>
          <w14:ligatures w14:val="none"/>
        </w:rPr>
        <w:t>Lafayette, CA (Remote)</w:t>
      </w:r>
    </w:p>
    <w:p w14:paraId="3B0C6D8A" w14:textId="77777777" w:rsidR="00D16EF8" w:rsidRPr="00D16EF8" w:rsidRDefault="00D16EF8" w:rsidP="00D16E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Overview</w:t>
      </w: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We are seeking a </w:t>
      </w:r>
      <w:r w:rsidRPr="00D16E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Treasury Software Consultant</w:t>
      </w: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to serve as a key liaison between public sector clients and our internal product, operations, and support teams. This role is central to enabling successful onboarding, configuration, training, and ongoing support of our </w:t>
      </w:r>
      <w:r w:rsidRPr="00D16E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investment and debt management software solutions</w:t>
      </w: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which are used by cities, counties, transportation agencies, airport authorities, water and utility districts, and other governmental entities.</w:t>
      </w:r>
    </w:p>
    <w:p w14:paraId="66D30C84" w14:textId="42AC8C52" w:rsidR="00D16EF8" w:rsidRPr="00D16EF8" w:rsidRDefault="00D16EF8" w:rsidP="00D16E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Our solutions help public agencies automate complex treasury workflows, improve financial reporting accuracy, and reduce manual effort. While our headquarters </w:t>
      </w:r>
      <w:proofErr w:type="gramStart"/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located in</w:t>
      </w:r>
      <w:proofErr w:type="gramEnd"/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California, this position is open to remote candidates within the U.S</w:t>
      </w:r>
      <w:r w:rsidR="00830C5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and Canada.</w:t>
      </w:r>
    </w:p>
    <w:p w14:paraId="4994056F" w14:textId="77777777" w:rsidR="00D16EF8" w:rsidRPr="00D16EF8" w:rsidRDefault="00000000" w:rsidP="00D16EF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6D5D204">
          <v:rect id="_x0000_i1025" style="width:0;height:1.5pt" o:hralign="center" o:hrstd="t" o:hr="t" fillcolor="#a0a0a0" stroked="f"/>
        </w:pict>
      </w:r>
    </w:p>
    <w:p w14:paraId="4EA1593A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RESPONSIBILITIES</w:t>
      </w:r>
    </w:p>
    <w:p w14:paraId="1EE8E11C" w14:textId="77777777" w:rsidR="00D16EF8" w:rsidRPr="00D16EF8" w:rsidRDefault="00D16EF8" w:rsidP="00D16E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Reporting to the Director of Operations, the Treasury Software Consultant will build strong client relationships and act as a subject matter expert for our suite of treasury and financial management products. Key responsibilities include:</w:t>
      </w:r>
    </w:p>
    <w:p w14:paraId="6710BD3F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Implementation &amp; Project Management</w:t>
      </w:r>
    </w:p>
    <w:p w14:paraId="0838FE12" w14:textId="77777777" w:rsidR="00D16EF8" w:rsidRPr="00D16EF8" w:rsidRDefault="00D16EF8" w:rsidP="00D16E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Lead end-to-end software implementations for new public-sector clients, including project planning, data collection, data conversion, configuration, testing, and go-live.</w:t>
      </w:r>
    </w:p>
    <w:p w14:paraId="0D77A666" w14:textId="77777777" w:rsidR="00D16EF8" w:rsidRPr="00D16EF8" w:rsidRDefault="00D16EF8" w:rsidP="00D16E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Conduct business process reviews and translate client requirements into system design and configuration.</w:t>
      </w:r>
    </w:p>
    <w:p w14:paraId="423750D3" w14:textId="77777777" w:rsidR="00D16EF8" w:rsidRPr="00D16EF8" w:rsidRDefault="00D16EF8" w:rsidP="00D16EF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Manage multiple concurrent client projects while maintaining timelines, expectations, and deliverables.</w:t>
      </w:r>
    </w:p>
    <w:p w14:paraId="5F248A37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Client Training &amp; Support</w:t>
      </w:r>
    </w:p>
    <w:p w14:paraId="17D73879" w14:textId="77777777" w:rsidR="00D16EF8" w:rsidRPr="00D16EF8" w:rsidRDefault="00D16EF8" w:rsidP="00D16E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Deliver virtual and on-site training tailored to users in investment management, debt administration, and treasury operations.</w:t>
      </w:r>
    </w:p>
    <w:p w14:paraId="369E414A" w14:textId="77777777" w:rsidR="00D16EF8" w:rsidRPr="00D16EF8" w:rsidRDefault="00D16EF8" w:rsidP="00D16E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Provide ongoing application support, including troubleshooting, issue diagnosis, and escalation management.</w:t>
      </w:r>
    </w:p>
    <w:p w14:paraId="703B8AB9" w14:textId="77777777" w:rsidR="00D16EF8" w:rsidRPr="00D16EF8" w:rsidRDefault="00D16EF8" w:rsidP="00D16EF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Build trusted relationships with finance, treasury, and accounting personnel at public agencies.</w:t>
      </w:r>
    </w:p>
    <w:p w14:paraId="3745C90E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Operational Excellence &amp; Process Improvement</w:t>
      </w:r>
    </w:p>
    <w:p w14:paraId="0B3EDCA8" w14:textId="77777777" w:rsidR="00D16EF8" w:rsidRPr="00D16EF8" w:rsidRDefault="00D16EF8" w:rsidP="00D16EF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Analyze current implementation, training, and support processes and recommend enhancements to improve scale, quality, and efficiency.</w:t>
      </w:r>
    </w:p>
    <w:p w14:paraId="05A3BFD9" w14:textId="77777777" w:rsidR="00D16EF8" w:rsidRPr="00D16EF8" w:rsidRDefault="00D16EF8" w:rsidP="00D16EF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Develop and maintain internal and client-facing documentation, including implementation guides, training materials, knowledgebase articles, and FAQs.</w:t>
      </w:r>
    </w:p>
    <w:p w14:paraId="76039EC0" w14:textId="77777777" w:rsidR="00D16EF8" w:rsidRPr="00D16EF8" w:rsidRDefault="00D16EF8" w:rsidP="00D16EF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Partner closely with product management to communicate client feedback and contribute to feature design and prioritization.</w:t>
      </w:r>
    </w:p>
    <w:p w14:paraId="03EE316D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Cross-Functional Collaboration</w:t>
      </w:r>
    </w:p>
    <w:p w14:paraId="63EAD7DF" w14:textId="77777777" w:rsidR="00D16EF8" w:rsidRPr="00D16EF8" w:rsidRDefault="00D16EF8" w:rsidP="00D16EF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Support the sales team by participating in product demos, RFP responses, and pre-sales technical discovery.</w:t>
      </w:r>
    </w:p>
    <w:p w14:paraId="43686578" w14:textId="77777777" w:rsidR="00D16EF8" w:rsidRPr="00D16EF8" w:rsidRDefault="00D16EF8" w:rsidP="00D16EF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Conduct proactive outreach to existing clients to ensure optimal product use and identify opportunities for improvement or additional services.</w:t>
      </w:r>
    </w:p>
    <w:p w14:paraId="1709962C" w14:textId="77777777" w:rsidR="00D16EF8" w:rsidRPr="00D16EF8" w:rsidRDefault="00D16EF8" w:rsidP="00D16EF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Represent the voice of the customer across engineering, product, support, and operations teams.</w:t>
      </w:r>
    </w:p>
    <w:p w14:paraId="65D2C6D6" w14:textId="77777777" w:rsidR="00D16EF8" w:rsidRPr="00D16EF8" w:rsidRDefault="00000000" w:rsidP="00D16EF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3E6B3DB">
          <v:rect id="_x0000_i1026" style="width:0;height:1.5pt" o:hralign="center" o:hrstd="t" o:hr="t" fillcolor="#a0a0a0" stroked="f"/>
        </w:pict>
      </w:r>
    </w:p>
    <w:p w14:paraId="6222EA10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QUALIFICATIONS</w:t>
      </w:r>
    </w:p>
    <w:p w14:paraId="707A5E59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Required</w:t>
      </w:r>
    </w:p>
    <w:p w14:paraId="218263CF" w14:textId="674DFC66" w:rsidR="00D16EF8" w:rsidRPr="00D16EF8" w:rsidRDefault="00830C5F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4</w:t>
      </w:r>
      <w:r w:rsidR="00D16EF8" w:rsidRPr="00D16E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+ years of experience</w:t>
      </w:r>
      <w:r w:rsidR="00D16EF8"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0E6D4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with</w:t>
      </w:r>
      <w:r w:rsidR="00D16EF8"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financial software implementation, training, or support; treasury, investment, municipal finance, or debt management software experience strongly preferred.</w:t>
      </w:r>
      <w:r w:rsidR="00992D2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75542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3+ </w:t>
      </w:r>
      <w:r w:rsidR="003F16F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years’ experience</w:t>
      </w:r>
      <w:r w:rsidR="0095135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using these types of systems can be a substitute.</w:t>
      </w:r>
    </w:p>
    <w:p w14:paraId="223BD032" w14:textId="52FCF5D6" w:rsidR="00D16EF8" w:rsidRPr="00D16EF8" w:rsidRDefault="00D16EF8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Bachelor’s degree</w:t>
      </w: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 accounting, finance, public administration, economics, or a related field</w:t>
      </w:r>
      <w:r w:rsidR="00830AB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Experience</w:t>
      </w:r>
      <w:r w:rsidR="0071415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working</w:t>
      </w:r>
      <w:r w:rsidR="00830AB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 these field</w:t>
      </w:r>
      <w:r w:rsidR="0071415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</w:t>
      </w:r>
      <w:r w:rsidR="00830AB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can be a substitute.</w:t>
      </w:r>
    </w:p>
    <w:p w14:paraId="6BAED964" w14:textId="30FA5AB9" w:rsidR="00D16EF8" w:rsidRPr="00D16EF8" w:rsidRDefault="00F567ED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Experience with</w:t>
      </w:r>
      <w:r w:rsidR="00D16EF8"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D16EF8" w:rsidRPr="00D16E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public sector investment workflows, debt management</w:t>
      </w:r>
      <w:r w:rsidR="00D16EF8"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or governmental accounting principles (GASB experience a plus).</w:t>
      </w:r>
    </w:p>
    <w:p w14:paraId="2DD6B941" w14:textId="77777777" w:rsidR="00D16EF8" w:rsidRPr="00D16EF8" w:rsidRDefault="00D16EF8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Demonstrated success managing complex projects with multiple stakeholders.</w:t>
      </w:r>
    </w:p>
    <w:p w14:paraId="218DCA0F" w14:textId="77777777" w:rsidR="00D16EF8" w:rsidRPr="00D16EF8" w:rsidRDefault="00D16EF8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Exceptional organization, attention to detail, and ability to prioritize effectively in a multi-project environment.</w:t>
      </w:r>
    </w:p>
    <w:p w14:paraId="578D53F3" w14:textId="77777777" w:rsidR="00D16EF8" w:rsidRPr="00D16EF8" w:rsidRDefault="00D16EF8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Excellent written, verbal, and presentation skills, with a strong customer-service orientation.</w:t>
      </w:r>
    </w:p>
    <w:p w14:paraId="63DA7B73" w14:textId="77777777" w:rsidR="00D16EF8" w:rsidRPr="00D16EF8" w:rsidRDefault="00D16EF8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Ability to quickly learn new software systems and translate technical concepts to non-technical users.</w:t>
      </w:r>
    </w:p>
    <w:p w14:paraId="4FBED360" w14:textId="77777777" w:rsidR="00D16EF8" w:rsidRDefault="00D16EF8" w:rsidP="00D16EF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Proficiency working with helpdesk/ticketing platforms (e.g., JIRA, Zendesk, Freshdesk).</w:t>
      </w:r>
    </w:p>
    <w:p w14:paraId="09911F47" w14:textId="77777777" w:rsidR="006B6B49" w:rsidRDefault="006B6B49" w:rsidP="006B6B49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3372422B" w14:textId="77777777" w:rsidR="006B6B49" w:rsidRDefault="006B6B49" w:rsidP="006B6B49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6BFF997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Preferred</w:t>
      </w:r>
    </w:p>
    <w:p w14:paraId="6DD70F63" w14:textId="77777777" w:rsidR="00D16EF8" w:rsidRPr="00D16EF8" w:rsidRDefault="00D16EF8" w:rsidP="00D16EF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Experience working directly with public agencies (City/County Treasury, Finance, Controller’s Office, Transportation or Utility Departments).</w:t>
      </w:r>
    </w:p>
    <w:p w14:paraId="6E763AA1" w14:textId="77777777" w:rsidR="00D16EF8" w:rsidRPr="00D16EF8" w:rsidRDefault="00D16EF8" w:rsidP="00D16EF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Experience with SQL, data analysis, or data transformation tools for conversions.</w:t>
      </w:r>
    </w:p>
    <w:p w14:paraId="48B42175" w14:textId="77777777" w:rsidR="00D16EF8" w:rsidRPr="00D16EF8" w:rsidRDefault="00D16EF8" w:rsidP="00D16EF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Familiarity with fixed-income instruments, investment policy compliance, debt amortization schedules, or cash forecasting.</w:t>
      </w:r>
    </w:p>
    <w:p w14:paraId="41745FCB" w14:textId="77777777" w:rsidR="00D16EF8" w:rsidRPr="00D16EF8" w:rsidRDefault="00D16EF8" w:rsidP="00D16E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D16EF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Additional Details</w:t>
      </w:r>
    </w:p>
    <w:p w14:paraId="14E5DC51" w14:textId="77777777" w:rsidR="00D16EF8" w:rsidRDefault="00D16EF8" w:rsidP="00D16EF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D16E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This role is ideal for a self-starter who thrives in a collaborative, fast-paced environment and enjoys problem-solving on behalf of clients.</w:t>
      </w:r>
    </w:p>
    <w:p w14:paraId="0E0F71D5" w14:textId="77777777" w:rsidR="004521FF" w:rsidRDefault="004521FF" w:rsidP="004521F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Knowledge and confidence in using AI to increase efficiency in daily processes.</w:t>
      </w:r>
    </w:p>
    <w:p w14:paraId="73063420" w14:textId="500AA377" w:rsidR="00045427" w:rsidRDefault="00045427" w:rsidP="00045427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Contact:</w:t>
      </w:r>
    </w:p>
    <w:p w14:paraId="299B8F24" w14:textId="016CB5C2" w:rsidR="00045427" w:rsidRPr="00045427" w:rsidRDefault="00045427" w:rsidP="00045427">
      <w:pPr>
        <w:spacing w:after="0" w:line="240" w:lineRule="auto"/>
        <w:outlineLvl w:val="2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54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ab/>
      </w:r>
      <w:r w:rsidRPr="000454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Peter Bakonyvari – </w:t>
      </w:r>
      <w:hyperlink r:id="rId5" w:history="1">
        <w:r w:rsidRPr="00045427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14:ligatures w14:val="none"/>
          </w:rPr>
          <w:t>pbakonyvari@sympro.com</w:t>
        </w:r>
      </w:hyperlink>
    </w:p>
    <w:p w14:paraId="4A1D7106" w14:textId="3708D655" w:rsidR="00045427" w:rsidRPr="00045427" w:rsidRDefault="00045427" w:rsidP="00045427">
      <w:pPr>
        <w:spacing w:after="0" w:line="240" w:lineRule="auto"/>
        <w:outlineLvl w:val="2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454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ab/>
        <w:t xml:space="preserve">Carlton Young – </w:t>
      </w:r>
      <w:hyperlink r:id="rId6" w:history="1">
        <w:r w:rsidRPr="00045427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14:ligatures w14:val="none"/>
          </w:rPr>
          <w:t>cyoung@sympro.com</w:t>
        </w:r>
      </w:hyperlink>
      <w:r w:rsidRPr="000454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ab/>
      </w:r>
    </w:p>
    <w:p w14:paraId="51D79E1C" w14:textId="77777777" w:rsidR="00045427" w:rsidRDefault="00045427" w:rsidP="00045427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</w:p>
    <w:p w14:paraId="0E2B2B1A" w14:textId="77777777" w:rsidR="00045427" w:rsidRPr="00D16EF8" w:rsidRDefault="00045427" w:rsidP="00045427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</w:p>
    <w:p w14:paraId="0D485193" w14:textId="77777777" w:rsidR="00045427" w:rsidRDefault="00045427" w:rsidP="000454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FE589EF" w14:textId="2F142B6C" w:rsidR="00045427" w:rsidRPr="00D16EF8" w:rsidRDefault="00045427" w:rsidP="000454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C23375B" w14:textId="77777777" w:rsidR="004521FF" w:rsidRPr="00D16EF8" w:rsidRDefault="004521FF" w:rsidP="004521FF">
      <w:pPr>
        <w:spacing w:before="100" w:beforeAutospacing="1" w:after="100" w:afterAutospacing="1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64A6C35" w14:textId="77777777" w:rsidR="000B105F" w:rsidRDefault="000B105F"/>
    <w:sectPr w:rsidR="000B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5EBF"/>
    <w:multiLevelType w:val="multilevel"/>
    <w:tmpl w:val="21CE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1DEC"/>
    <w:multiLevelType w:val="multilevel"/>
    <w:tmpl w:val="436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46970"/>
    <w:multiLevelType w:val="multilevel"/>
    <w:tmpl w:val="924C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D346A"/>
    <w:multiLevelType w:val="multilevel"/>
    <w:tmpl w:val="2B8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56870"/>
    <w:multiLevelType w:val="multilevel"/>
    <w:tmpl w:val="D73C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54A01"/>
    <w:multiLevelType w:val="multilevel"/>
    <w:tmpl w:val="7C4A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C5D0B"/>
    <w:multiLevelType w:val="multilevel"/>
    <w:tmpl w:val="950A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869625">
    <w:abstractNumId w:val="1"/>
  </w:num>
  <w:num w:numId="2" w16cid:durableId="2080595130">
    <w:abstractNumId w:val="5"/>
  </w:num>
  <w:num w:numId="3" w16cid:durableId="1117867510">
    <w:abstractNumId w:val="0"/>
  </w:num>
  <w:num w:numId="4" w16cid:durableId="198250078">
    <w:abstractNumId w:val="3"/>
  </w:num>
  <w:num w:numId="5" w16cid:durableId="255408824">
    <w:abstractNumId w:val="6"/>
  </w:num>
  <w:num w:numId="6" w16cid:durableId="350573970">
    <w:abstractNumId w:val="4"/>
  </w:num>
  <w:num w:numId="7" w16cid:durableId="95278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F8"/>
    <w:rsid w:val="00045427"/>
    <w:rsid w:val="000B105F"/>
    <w:rsid w:val="000E6D41"/>
    <w:rsid w:val="00281D3B"/>
    <w:rsid w:val="002B4BA2"/>
    <w:rsid w:val="003F16FB"/>
    <w:rsid w:val="004521FF"/>
    <w:rsid w:val="005479B5"/>
    <w:rsid w:val="00581B2C"/>
    <w:rsid w:val="00690EDA"/>
    <w:rsid w:val="006B6B49"/>
    <w:rsid w:val="00714155"/>
    <w:rsid w:val="0075542E"/>
    <w:rsid w:val="007D780F"/>
    <w:rsid w:val="00830AB5"/>
    <w:rsid w:val="00830C5F"/>
    <w:rsid w:val="00951353"/>
    <w:rsid w:val="00992D20"/>
    <w:rsid w:val="009A641B"/>
    <w:rsid w:val="00A70021"/>
    <w:rsid w:val="00A867BD"/>
    <w:rsid w:val="00B07EFD"/>
    <w:rsid w:val="00C61A26"/>
    <w:rsid w:val="00CA1EB8"/>
    <w:rsid w:val="00D16EF8"/>
    <w:rsid w:val="00DF58B7"/>
    <w:rsid w:val="00E52B08"/>
    <w:rsid w:val="00F567ED"/>
    <w:rsid w:val="00F6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5250"/>
  <w15:chartTrackingRefBased/>
  <w15:docId w15:val="{DAC560AB-F435-4638-B250-6CA2E9FB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E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54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oung@sympro.com" TargetMode="External"/><Relationship Id="rId5" Type="http://schemas.openxmlformats.org/officeDocument/2006/relationships/hyperlink" Target="mailto:pbakonyvari@symp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Bakonyvari</dc:creator>
  <cp:keywords/>
  <dc:description/>
  <cp:lastModifiedBy>Bryan Phillips</cp:lastModifiedBy>
  <cp:revision>2</cp:revision>
  <dcterms:created xsi:type="dcterms:W3CDTF">2026-03-29T19:55:00Z</dcterms:created>
  <dcterms:modified xsi:type="dcterms:W3CDTF">2026-03-29T19:55:00Z</dcterms:modified>
</cp:coreProperties>
</file>